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66CB" w14:textId="77777777" w:rsidR="009D3AB3" w:rsidRDefault="009D3AB3" w:rsidP="00F03775">
      <w:pPr>
        <w:tabs>
          <w:tab w:val="left" w:pos="8505"/>
        </w:tabs>
        <w:ind w:right="-45"/>
        <w:rPr>
          <w:b/>
          <w:sz w:val="22"/>
          <w:szCs w:val="22"/>
          <w:lang w:val="en-US"/>
        </w:rPr>
      </w:pPr>
    </w:p>
    <w:p w14:paraId="29825CCA" w14:textId="77777777" w:rsidR="00E32936" w:rsidRPr="00D55C7D" w:rsidRDefault="00E32936" w:rsidP="00E32936">
      <w:pPr>
        <w:jc w:val="center"/>
        <w:rPr>
          <w:rFonts w:ascii="Arial" w:hAnsi="Arial" w:cs="Arial"/>
          <w:b/>
          <w:sz w:val="24"/>
          <w:szCs w:val="24"/>
        </w:rPr>
      </w:pPr>
      <w:r w:rsidRPr="00D55C7D">
        <w:rPr>
          <w:rFonts w:ascii="Arial" w:hAnsi="Arial" w:cs="Arial"/>
          <w:b/>
          <w:sz w:val="24"/>
          <w:szCs w:val="24"/>
        </w:rPr>
        <w:t>October 2020</w:t>
      </w:r>
    </w:p>
    <w:p w14:paraId="092E6AB5" w14:textId="5762657B" w:rsidR="00E32936" w:rsidRDefault="00EA133D" w:rsidP="00E32936">
      <w:pPr>
        <w:ind w:left="110" w:right="-158"/>
        <w:rPr>
          <w:rFonts w:ascii="Arial" w:hAnsi="Arial" w:cs="Arial"/>
          <w:sz w:val="24"/>
          <w:szCs w:val="24"/>
        </w:rPr>
      </w:pPr>
      <w:r>
        <w:rPr>
          <w:rFonts w:ascii="Arial" w:hAnsi="Arial" w:cs="Arial"/>
          <w:sz w:val="24"/>
          <w:szCs w:val="24"/>
        </w:rPr>
        <w:t>The</w:t>
      </w:r>
      <w:r w:rsidR="00980D14" w:rsidRPr="00385346">
        <w:rPr>
          <w:rFonts w:ascii="Arial" w:hAnsi="Arial" w:cs="Arial"/>
          <w:sz w:val="24"/>
          <w:szCs w:val="24"/>
        </w:rPr>
        <w:t xml:space="preserve"> post-authorization requirement</w:t>
      </w:r>
      <w:r>
        <w:rPr>
          <w:rFonts w:ascii="Arial" w:hAnsi="Arial" w:cs="Arial"/>
          <w:sz w:val="24"/>
          <w:szCs w:val="24"/>
        </w:rPr>
        <w:t xml:space="preserve"> for a </w:t>
      </w:r>
      <w:r w:rsidR="00980D14">
        <w:rPr>
          <w:rFonts w:ascii="Arial" w:hAnsi="Arial" w:cs="Arial"/>
          <w:sz w:val="24"/>
          <w:szCs w:val="24"/>
        </w:rPr>
        <w:t xml:space="preserve">shelf-life of 2 years of </w:t>
      </w:r>
      <w:r w:rsidR="00980D14" w:rsidRPr="00385346">
        <w:rPr>
          <w:rFonts w:ascii="Arial" w:hAnsi="Arial" w:cs="Arial"/>
          <w:sz w:val="24"/>
          <w:szCs w:val="24"/>
        </w:rPr>
        <w:t xml:space="preserve">the authorisation of </w:t>
      </w:r>
      <w:proofErr w:type="spellStart"/>
      <w:r w:rsidR="00980D14" w:rsidRPr="00385346">
        <w:rPr>
          <w:rFonts w:ascii="Arial" w:hAnsi="Arial" w:cs="Arial"/>
          <w:sz w:val="24"/>
          <w:szCs w:val="24"/>
        </w:rPr>
        <w:t>Kalaguard</w:t>
      </w:r>
      <w:proofErr w:type="spellEnd"/>
      <w:r w:rsidR="00980D14" w:rsidRPr="00385346">
        <w:rPr>
          <w:rFonts w:ascii="Arial" w:hAnsi="Arial" w:cs="Arial"/>
          <w:sz w:val="24"/>
          <w:szCs w:val="24"/>
        </w:rPr>
        <w:t xml:space="preserve">® SB was </w:t>
      </w:r>
      <w:r w:rsidR="00980D14">
        <w:rPr>
          <w:rFonts w:ascii="Arial" w:hAnsi="Arial" w:cs="Arial"/>
          <w:sz w:val="24"/>
          <w:szCs w:val="24"/>
        </w:rPr>
        <w:t xml:space="preserve">confirmed. In addition, </w:t>
      </w:r>
      <w:r w:rsidR="00E32936" w:rsidRPr="00385346">
        <w:rPr>
          <w:rFonts w:ascii="Arial" w:hAnsi="Arial" w:cs="Arial"/>
          <w:sz w:val="24"/>
          <w:szCs w:val="24"/>
        </w:rPr>
        <w:t>an application for a minor change</w:t>
      </w:r>
      <w:r w:rsidR="00D55C7D" w:rsidRPr="00385346">
        <w:rPr>
          <w:rFonts w:ascii="Arial" w:hAnsi="Arial" w:cs="Arial"/>
          <w:sz w:val="24"/>
          <w:szCs w:val="24"/>
        </w:rPr>
        <w:t xml:space="preserve"> regarding </w:t>
      </w:r>
      <w:r w:rsidR="00980D14">
        <w:rPr>
          <w:rFonts w:ascii="Arial" w:hAnsi="Arial" w:cs="Arial"/>
          <w:sz w:val="24"/>
          <w:szCs w:val="24"/>
        </w:rPr>
        <w:t>the shelf-life was submitted and</w:t>
      </w:r>
      <w:r w:rsidR="00E32936" w:rsidRPr="00385346">
        <w:rPr>
          <w:rFonts w:ascii="Arial" w:hAnsi="Arial" w:cs="Arial"/>
          <w:sz w:val="24"/>
          <w:szCs w:val="24"/>
        </w:rPr>
        <w:t xml:space="preserve"> the authorisation of </w:t>
      </w:r>
      <w:proofErr w:type="spellStart"/>
      <w:r w:rsidR="00165678" w:rsidRPr="00385346">
        <w:rPr>
          <w:rFonts w:ascii="Arial" w:hAnsi="Arial" w:cs="Arial"/>
          <w:sz w:val="24"/>
          <w:szCs w:val="24"/>
        </w:rPr>
        <w:t>Kalaguard</w:t>
      </w:r>
      <w:proofErr w:type="spellEnd"/>
      <w:r w:rsidR="00165678" w:rsidRPr="00385346">
        <w:rPr>
          <w:rFonts w:ascii="Arial" w:hAnsi="Arial" w:cs="Arial"/>
          <w:sz w:val="24"/>
          <w:szCs w:val="24"/>
        </w:rPr>
        <w:t xml:space="preserve">® SB </w:t>
      </w:r>
      <w:r w:rsidR="00E32936" w:rsidRPr="00385346">
        <w:rPr>
          <w:rFonts w:ascii="Arial" w:hAnsi="Arial" w:cs="Arial"/>
          <w:sz w:val="24"/>
          <w:szCs w:val="24"/>
        </w:rPr>
        <w:t xml:space="preserve">was changed with respect to the </w:t>
      </w:r>
      <w:r w:rsidR="00D55C7D" w:rsidRPr="00385346">
        <w:rPr>
          <w:rFonts w:ascii="Arial" w:hAnsi="Arial" w:cs="Arial"/>
          <w:sz w:val="24"/>
          <w:szCs w:val="24"/>
        </w:rPr>
        <w:t>shelf-life from 2 years to 3 years</w:t>
      </w:r>
      <w:r w:rsidR="00E32936" w:rsidRPr="00385346">
        <w:rPr>
          <w:rFonts w:ascii="Arial" w:hAnsi="Arial" w:cs="Arial"/>
          <w:sz w:val="24"/>
          <w:szCs w:val="24"/>
        </w:rPr>
        <w:t>.</w:t>
      </w:r>
      <w:r w:rsidR="00D55C7D" w:rsidRPr="00385346">
        <w:rPr>
          <w:rFonts w:ascii="Arial" w:hAnsi="Arial" w:cs="Arial"/>
          <w:sz w:val="24"/>
          <w:szCs w:val="24"/>
        </w:rPr>
        <w:t xml:space="preserve"> This application also included an administrative change of the </w:t>
      </w:r>
      <w:proofErr w:type="spellStart"/>
      <w:r w:rsidR="00D55C7D" w:rsidRPr="00385346">
        <w:rPr>
          <w:rFonts w:ascii="Arial" w:hAnsi="Arial" w:cs="Arial"/>
          <w:sz w:val="24"/>
          <w:szCs w:val="24"/>
        </w:rPr>
        <w:t>addres</w:t>
      </w:r>
      <w:proofErr w:type="spellEnd"/>
      <w:r w:rsidR="00D55C7D" w:rsidRPr="00385346">
        <w:rPr>
          <w:rFonts w:ascii="Arial" w:hAnsi="Arial" w:cs="Arial"/>
          <w:sz w:val="24"/>
          <w:szCs w:val="24"/>
        </w:rPr>
        <w:t xml:space="preserve"> of </w:t>
      </w:r>
      <w:r w:rsidR="00385346" w:rsidRPr="00385346">
        <w:rPr>
          <w:rFonts w:ascii="Arial" w:hAnsi="Arial" w:cs="Arial"/>
          <w:sz w:val="24"/>
          <w:szCs w:val="24"/>
        </w:rPr>
        <w:t>the manufacturer of the biocidal product and the address of the manufacturer of the active substance.</w:t>
      </w:r>
    </w:p>
    <w:p w14:paraId="53D1E807" w14:textId="36BF3221" w:rsidR="00F03775" w:rsidRDefault="00F03775" w:rsidP="00E32936">
      <w:pPr>
        <w:ind w:left="110" w:right="-158"/>
        <w:rPr>
          <w:rFonts w:ascii="Arial" w:hAnsi="Arial" w:cs="Arial"/>
          <w:sz w:val="24"/>
          <w:szCs w:val="24"/>
        </w:rPr>
      </w:pPr>
    </w:p>
    <w:p w14:paraId="5FF2F0CE" w14:textId="060D005B" w:rsidR="00F03775" w:rsidRDefault="00F03775" w:rsidP="00E32936">
      <w:pPr>
        <w:ind w:left="110" w:right="-158"/>
        <w:rPr>
          <w:rFonts w:ascii="Arial" w:hAnsi="Arial" w:cs="Arial"/>
          <w:sz w:val="24"/>
          <w:szCs w:val="24"/>
        </w:rPr>
      </w:pPr>
    </w:p>
    <w:p w14:paraId="3BD35DA7" w14:textId="36BCAB28" w:rsidR="00F03775" w:rsidRDefault="00F03775" w:rsidP="00E32936">
      <w:pPr>
        <w:ind w:left="110" w:right="-158"/>
        <w:rPr>
          <w:rFonts w:ascii="Arial" w:hAnsi="Arial" w:cs="Arial"/>
          <w:sz w:val="24"/>
          <w:szCs w:val="24"/>
        </w:rPr>
      </w:pPr>
    </w:p>
    <w:p w14:paraId="7EFEEF0D" w14:textId="1525B78B" w:rsidR="00F03775" w:rsidRDefault="00F03775" w:rsidP="00E32936">
      <w:pPr>
        <w:ind w:left="110" w:right="-158"/>
        <w:rPr>
          <w:rFonts w:ascii="Arial" w:hAnsi="Arial" w:cs="Arial"/>
          <w:sz w:val="24"/>
          <w:szCs w:val="24"/>
        </w:rPr>
      </w:pPr>
    </w:p>
    <w:p w14:paraId="62FEFFAC" w14:textId="6BA361D1" w:rsidR="00F03775" w:rsidRDefault="00F03775" w:rsidP="00E32936">
      <w:pPr>
        <w:ind w:left="110" w:right="-158"/>
        <w:rPr>
          <w:rFonts w:ascii="Arial" w:hAnsi="Arial" w:cs="Arial"/>
          <w:sz w:val="24"/>
          <w:szCs w:val="24"/>
        </w:rPr>
      </w:pPr>
    </w:p>
    <w:p w14:paraId="75EC8430" w14:textId="0D98099F" w:rsidR="00F03775" w:rsidRDefault="00F03775" w:rsidP="00E32936">
      <w:pPr>
        <w:ind w:left="110" w:right="-158"/>
        <w:rPr>
          <w:rFonts w:ascii="Arial" w:hAnsi="Arial" w:cs="Arial"/>
          <w:sz w:val="24"/>
          <w:szCs w:val="24"/>
        </w:rPr>
      </w:pPr>
    </w:p>
    <w:p w14:paraId="1CB5C6B2" w14:textId="04945B68" w:rsidR="00F03775" w:rsidRDefault="00F03775" w:rsidP="00E32936">
      <w:pPr>
        <w:ind w:left="110" w:right="-158"/>
        <w:rPr>
          <w:rFonts w:ascii="Arial" w:hAnsi="Arial" w:cs="Arial"/>
          <w:sz w:val="24"/>
          <w:szCs w:val="24"/>
        </w:rPr>
      </w:pPr>
    </w:p>
    <w:p w14:paraId="4A8355DC" w14:textId="2B81B1CA" w:rsidR="00F03775" w:rsidRDefault="00F03775" w:rsidP="00E32936">
      <w:pPr>
        <w:ind w:left="110" w:right="-158"/>
        <w:rPr>
          <w:rFonts w:ascii="Arial" w:hAnsi="Arial" w:cs="Arial"/>
          <w:sz w:val="24"/>
          <w:szCs w:val="24"/>
        </w:rPr>
      </w:pPr>
    </w:p>
    <w:p w14:paraId="298E5632" w14:textId="548D7E66" w:rsidR="00F03775" w:rsidRDefault="00F03775" w:rsidP="00E32936">
      <w:pPr>
        <w:ind w:left="110" w:right="-158"/>
        <w:rPr>
          <w:rFonts w:ascii="Arial" w:hAnsi="Arial" w:cs="Arial"/>
          <w:sz w:val="24"/>
          <w:szCs w:val="24"/>
        </w:rPr>
      </w:pPr>
    </w:p>
    <w:p w14:paraId="5336FEC6" w14:textId="7FD8C519" w:rsidR="00F03775" w:rsidRDefault="00F03775" w:rsidP="00E32936">
      <w:pPr>
        <w:ind w:left="110" w:right="-158"/>
        <w:rPr>
          <w:rFonts w:ascii="Arial" w:hAnsi="Arial" w:cs="Arial"/>
          <w:sz w:val="24"/>
          <w:szCs w:val="24"/>
        </w:rPr>
      </w:pPr>
    </w:p>
    <w:p w14:paraId="3A0E41C0" w14:textId="4FFD2B5B" w:rsidR="00F03775" w:rsidRDefault="00F03775" w:rsidP="00E32936">
      <w:pPr>
        <w:ind w:left="110" w:right="-158"/>
        <w:rPr>
          <w:rFonts w:ascii="Arial" w:hAnsi="Arial" w:cs="Arial"/>
          <w:sz w:val="24"/>
          <w:szCs w:val="24"/>
        </w:rPr>
      </w:pPr>
    </w:p>
    <w:p w14:paraId="3E751C46" w14:textId="2DCA7795" w:rsidR="00F03775" w:rsidRDefault="00F03775" w:rsidP="00E32936">
      <w:pPr>
        <w:ind w:left="110" w:right="-158"/>
        <w:rPr>
          <w:rFonts w:ascii="Arial" w:hAnsi="Arial" w:cs="Arial"/>
          <w:sz w:val="24"/>
          <w:szCs w:val="24"/>
        </w:rPr>
      </w:pPr>
    </w:p>
    <w:p w14:paraId="4B5A53EA" w14:textId="6352081B" w:rsidR="00F03775" w:rsidRDefault="00F03775" w:rsidP="00E32936">
      <w:pPr>
        <w:ind w:left="110" w:right="-158"/>
        <w:rPr>
          <w:rFonts w:ascii="Arial" w:hAnsi="Arial" w:cs="Arial"/>
          <w:sz w:val="24"/>
          <w:szCs w:val="24"/>
        </w:rPr>
      </w:pPr>
    </w:p>
    <w:p w14:paraId="5D0DD451" w14:textId="7696FF77" w:rsidR="00F03775" w:rsidRDefault="00F03775" w:rsidP="00E32936">
      <w:pPr>
        <w:ind w:left="110" w:right="-158"/>
        <w:rPr>
          <w:rFonts w:ascii="Arial" w:hAnsi="Arial" w:cs="Arial"/>
          <w:sz w:val="24"/>
          <w:szCs w:val="24"/>
        </w:rPr>
      </w:pPr>
    </w:p>
    <w:p w14:paraId="19D3627B" w14:textId="5D75D209" w:rsidR="00F03775" w:rsidRDefault="00F03775" w:rsidP="00E32936">
      <w:pPr>
        <w:ind w:left="110" w:right="-158"/>
        <w:rPr>
          <w:rFonts w:ascii="Arial" w:hAnsi="Arial" w:cs="Arial"/>
          <w:sz w:val="24"/>
          <w:szCs w:val="24"/>
        </w:rPr>
      </w:pPr>
    </w:p>
    <w:p w14:paraId="0C079CCF" w14:textId="1B175624" w:rsidR="00F03775" w:rsidRDefault="00F03775" w:rsidP="00E32936">
      <w:pPr>
        <w:ind w:left="110" w:right="-158"/>
        <w:rPr>
          <w:rFonts w:ascii="Arial" w:hAnsi="Arial" w:cs="Arial"/>
          <w:sz w:val="24"/>
          <w:szCs w:val="24"/>
        </w:rPr>
      </w:pPr>
    </w:p>
    <w:p w14:paraId="69506B9B" w14:textId="4D3D12EB" w:rsidR="00F03775" w:rsidRDefault="00F03775" w:rsidP="00E32936">
      <w:pPr>
        <w:ind w:left="110" w:right="-158"/>
        <w:rPr>
          <w:rFonts w:ascii="Arial" w:hAnsi="Arial" w:cs="Arial"/>
          <w:sz w:val="24"/>
          <w:szCs w:val="24"/>
        </w:rPr>
      </w:pPr>
    </w:p>
    <w:p w14:paraId="3B0B93A5" w14:textId="462BE55A" w:rsidR="00F03775" w:rsidRDefault="00F03775" w:rsidP="00E32936">
      <w:pPr>
        <w:ind w:left="110" w:right="-158"/>
        <w:rPr>
          <w:rFonts w:ascii="Arial" w:hAnsi="Arial" w:cs="Arial"/>
          <w:sz w:val="24"/>
          <w:szCs w:val="24"/>
        </w:rPr>
      </w:pPr>
    </w:p>
    <w:p w14:paraId="1D0A8151" w14:textId="370FCF2D" w:rsidR="00F03775" w:rsidRDefault="00F03775" w:rsidP="00E32936">
      <w:pPr>
        <w:ind w:left="110" w:right="-158"/>
        <w:rPr>
          <w:rFonts w:ascii="Arial" w:hAnsi="Arial" w:cs="Arial"/>
          <w:sz w:val="24"/>
          <w:szCs w:val="24"/>
        </w:rPr>
      </w:pPr>
    </w:p>
    <w:p w14:paraId="748BC783" w14:textId="3171E873" w:rsidR="00F03775" w:rsidRDefault="00F03775" w:rsidP="00E32936">
      <w:pPr>
        <w:ind w:left="110" w:right="-158"/>
        <w:rPr>
          <w:rFonts w:ascii="Arial" w:hAnsi="Arial" w:cs="Arial"/>
          <w:sz w:val="24"/>
          <w:szCs w:val="24"/>
        </w:rPr>
      </w:pPr>
    </w:p>
    <w:p w14:paraId="79EF40FE" w14:textId="6A9D3978" w:rsidR="00F03775" w:rsidRDefault="00F03775" w:rsidP="00E32936">
      <w:pPr>
        <w:ind w:left="110" w:right="-158"/>
        <w:rPr>
          <w:rFonts w:ascii="Arial" w:hAnsi="Arial" w:cs="Arial"/>
          <w:sz w:val="24"/>
          <w:szCs w:val="24"/>
        </w:rPr>
      </w:pPr>
    </w:p>
    <w:p w14:paraId="2CB2B1B2" w14:textId="5E57D23A" w:rsidR="00F03775" w:rsidRDefault="00F03775" w:rsidP="00E32936">
      <w:pPr>
        <w:ind w:left="110" w:right="-158"/>
        <w:rPr>
          <w:rFonts w:ascii="Arial" w:hAnsi="Arial" w:cs="Arial"/>
          <w:sz w:val="24"/>
          <w:szCs w:val="24"/>
        </w:rPr>
      </w:pPr>
    </w:p>
    <w:p w14:paraId="6A28EFBB" w14:textId="3F81D205" w:rsidR="00F03775" w:rsidRDefault="00F03775" w:rsidP="00E32936">
      <w:pPr>
        <w:ind w:left="110" w:right="-158"/>
        <w:rPr>
          <w:rFonts w:ascii="Arial" w:hAnsi="Arial" w:cs="Arial"/>
          <w:sz w:val="24"/>
          <w:szCs w:val="24"/>
        </w:rPr>
      </w:pPr>
    </w:p>
    <w:p w14:paraId="7262D1AB" w14:textId="541294BE" w:rsidR="00F03775" w:rsidRDefault="00F03775" w:rsidP="00E32936">
      <w:pPr>
        <w:ind w:left="110" w:right="-158"/>
        <w:rPr>
          <w:rFonts w:ascii="Arial" w:hAnsi="Arial" w:cs="Arial"/>
          <w:sz w:val="24"/>
          <w:szCs w:val="24"/>
        </w:rPr>
      </w:pPr>
    </w:p>
    <w:p w14:paraId="67E10E2B" w14:textId="3FE97CF6" w:rsidR="00F03775" w:rsidRDefault="00F03775" w:rsidP="00E32936">
      <w:pPr>
        <w:ind w:left="110" w:right="-158"/>
        <w:rPr>
          <w:rFonts w:ascii="Arial" w:hAnsi="Arial" w:cs="Arial"/>
          <w:sz w:val="24"/>
          <w:szCs w:val="24"/>
        </w:rPr>
      </w:pPr>
    </w:p>
    <w:p w14:paraId="7B6BAE13" w14:textId="6D01FE65" w:rsidR="00F03775" w:rsidRDefault="00F03775" w:rsidP="00E32936">
      <w:pPr>
        <w:ind w:left="110" w:right="-158"/>
        <w:rPr>
          <w:rFonts w:ascii="Arial" w:hAnsi="Arial" w:cs="Arial"/>
          <w:sz w:val="24"/>
          <w:szCs w:val="24"/>
        </w:rPr>
      </w:pPr>
    </w:p>
    <w:p w14:paraId="00894D53" w14:textId="2E681A88" w:rsidR="00F03775" w:rsidRDefault="00F03775" w:rsidP="00E32936">
      <w:pPr>
        <w:ind w:left="110" w:right="-158"/>
        <w:rPr>
          <w:rFonts w:ascii="Arial" w:hAnsi="Arial" w:cs="Arial"/>
          <w:sz w:val="24"/>
          <w:szCs w:val="24"/>
        </w:rPr>
      </w:pPr>
    </w:p>
    <w:p w14:paraId="6ACEA1C8" w14:textId="14215ADA" w:rsidR="00F03775" w:rsidRDefault="00F03775" w:rsidP="00E32936">
      <w:pPr>
        <w:ind w:left="110" w:right="-158"/>
        <w:rPr>
          <w:rFonts w:ascii="Arial" w:hAnsi="Arial" w:cs="Arial"/>
          <w:sz w:val="24"/>
          <w:szCs w:val="24"/>
        </w:rPr>
      </w:pPr>
    </w:p>
    <w:p w14:paraId="5EA70954" w14:textId="491DB4D4" w:rsidR="00F03775" w:rsidRDefault="00F03775" w:rsidP="00E32936">
      <w:pPr>
        <w:ind w:left="110" w:right="-158"/>
        <w:rPr>
          <w:rFonts w:ascii="Arial" w:hAnsi="Arial" w:cs="Arial"/>
          <w:sz w:val="24"/>
          <w:szCs w:val="24"/>
        </w:rPr>
      </w:pPr>
    </w:p>
    <w:p w14:paraId="13AF16A4" w14:textId="3F043B17" w:rsidR="00F03775" w:rsidRDefault="00F03775" w:rsidP="00E32936">
      <w:pPr>
        <w:ind w:left="110" w:right="-158"/>
        <w:rPr>
          <w:rFonts w:ascii="Arial" w:hAnsi="Arial" w:cs="Arial"/>
          <w:sz w:val="24"/>
          <w:szCs w:val="24"/>
        </w:rPr>
      </w:pPr>
    </w:p>
    <w:p w14:paraId="205BACF6" w14:textId="78071768" w:rsidR="00F03775" w:rsidRDefault="00F03775" w:rsidP="00E32936">
      <w:pPr>
        <w:ind w:left="110" w:right="-158"/>
        <w:rPr>
          <w:rFonts w:ascii="Arial" w:hAnsi="Arial" w:cs="Arial"/>
          <w:sz w:val="24"/>
          <w:szCs w:val="24"/>
        </w:rPr>
      </w:pPr>
    </w:p>
    <w:p w14:paraId="4319D9E8" w14:textId="51C96D20" w:rsidR="00F03775" w:rsidRDefault="00F03775" w:rsidP="00E32936">
      <w:pPr>
        <w:ind w:left="110" w:right="-158"/>
        <w:rPr>
          <w:rFonts w:ascii="Arial" w:hAnsi="Arial" w:cs="Arial"/>
          <w:sz w:val="24"/>
          <w:szCs w:val="24"/>
        </w:rPr>
      </w:pPr>
    </w:p>
    <w:p w14:paraId="376C4848" w14:textId="501DBBF6" w:rsidR="00F03775" w:rsidRDefault="00F03775" w:rsidP="00E32936">
      <w:pPr>
        <w:ind w:left="110" w:right="-158"/>
        <w:rPr>
          <w:rFonts w:ascii="Arial" w:hAnsi="Arial" w:cs="Arial"/>
          <w:sz w:val="24"/>
          <w:szCs w:val="24"/>
        </w:rPr>
      </w:pPr>
    </w:p>
    <w:p w14:paraId="1FC0A2FD" w14:textId="3C39767D" w:rsidR="00F03775" w:rsidRDefault="00F03775" w:rsidP="00E32936">
      <w:pPr>
        <w:ind w:left="110" w:right="-158"/>
        <w:rPr>
          <w:rFonts w:ascii="Arial" w:hAnsi="Arial" w:cs="Arial"/>
          <w:sz w:val="24"/>
          <w:szCs w:val="24"/>
        </w:rPr>
      </w:pPr>
    </w:p>
    <w:p w14:paraId="03836431" w14:textId="62A769EA" w:rsidR="00F03775" w:rsidRDefault="00F03775" w:rsidP="00E32936">
      <w:pPr>
        <w:ind w:left="110" w:right="-158"/>
        <w:rPr>
          <w:rFonts w:ascii="Arial" w:hAnsi="Arial" w:cs="Arial"/>
          <w:sz w:val="24"/>
          <w:szCs w:val="24"/>
        </w:rPr>
      </w:pPr>
    </w:p>
    <w:p w14:paraId="4B97261A" w14:textId="009D8319" w:rsidR="00F03775" w:rsidRDefault="00F03775" w:rsidP="00E32936">
      <w:pPr>
        <w:ind w:left="110" w:right="-158"/>
        <w:rPr>
          <w:rFonts w:ascii="Arial" w:hAnsi="Arial" w:cs="Arial"/>
          <w:sz w:val="24"/>
          <w:szCs w:val="24"/>
        </w:rPr>
      </w:pPr>
    </w:p>
    <w:p w14:paraId="35BB0CC8" w14:textId="63E61F0F" w:rsidR="00F03775" w:rsidRDefault="00F03775" w:rsidP="00E32936">
      <w:pPr>
        <w:ind w:left="110" w:right="-158"/>
        <w:rPr>
          <w:rFonts w:ascii="Arial" w:hAnsi="Arial" w:cs="Arial"/>
          <w:sz w:val="24"/>
          <w:szCs w:val="24"/>
        </w:rPr>
      </w:pPr>
    </w:p>
    <w:p w14:paraId="0E4275EB" w14:textId="26B26854" w:rsidR="00F03775" w:rsidRDefault="00F03775" w:rsidP="00E32936">
      <w:pPr>
        <w:ind w:left="110" w:right="-158"/>
        <w:rPr>
          <w:rFonts w:ascii="Arial" w:hAnsi="Arial" w:cs="Arial"/>
          <w:sz w:val="24"/>
          <w:szCs w:val="24"/>
        </w:rPr>
      </w:pPr>
    </w:p>
    <w:p w14:paraId="25591B96" w14:textId="6683FE64" w:rsidR="00F03775" w:rsidRDefault="00F03775" w:rsidP="00E32936">
      <w:pPr>
        <w:ind w:left="110" w:right="-158"/>
        <w:rPr>
          <w:rFonts w:ascii="Arial" w:hAnsi="Arial" w:cs="Arial"/>
          <w:sz w:val="24"/>
          <w:szCs w:val="24"/>
        </w:rPr>
      </w:pPr>
    </w:p>
    <w:p w14:paraId="70C3254E" w14:textId="77777777" w:rsidR="00F03775" w:rsidRPr="00385346" w:rsidRDefault="00F03775" w:rsidP="00E32936">
      <w:pPr>
        <w:ind w:left="110" w:right="-158"/>
        <w:rPr>
          <w:rFonts w:ascii="Arial" w:hAnsi="Arial" w:cs="Arial"/>
          <w:sz w:val="24"/>
          <w:szCs w:val="24"/>
        </w:rPr>
      </w:pPr>
    </w:p>
    <w:p w14:paraId="0F465C0E" w14:textId="77777777" w:rsidR="009D3AB3" w:rsidRPr="00E32936" w:rsidRDefault="009D3AB3" w:rsidP="00420F73">
      <w:pPr>
        <w:tabs>
          <w:tab w:val="left" w:pos="8505"/>
        </w:tabs>
        <w:ind w:left="-142" w:right="-45"/>
        <w:jc w:val="center"/>
        <w:rPr>
          <w:b/>
          <w:sz w:val="22"/>
          <w:szCs w:val="22"/>
        </w:rPr>
      </w:pPr>
    </w:p>
    <w:p w14:paraId="1946448E" w14:textId="77777777" w:rsidR="00420F73" w:rsidRDefault="009D3AB3" w:rsidP="00420F73">
      <w:pPr>
        <w:tabs>
          <w:tab w:val="left" w:pos="8505"/>
        </w:tabs>
        <w:ind w:left="-142" w:right="-45"/>
        <w:jc w:val="center"/>
        <w:rPr>
          <w:sz w:val="36"/>
          <w:szCs w:val="36"/>
          <w:lang w:val="en-US"/>
        </w:rPr>
      </w:pPr>
      <w:proofErr w:type="spellStart"/>
      <w:r w:rsidRPr="00420F73">
        <w:rPr>
          <w:b/>
          <w:sz w:val="22"/>
          <w:szCs w:val="22"/>
          <w:lang w:val="en-US"/>
        </w:rPr>
        <w:t>Bijlage</w:t>
      </w:r>
      <w:proofErr w:type="spellEnd"/>
      <w:r w:rsidRPr="00420F73">
        <w:rPr>
          <w:b/>
          <w:sz w:val="22"/>
          <w:szCs w:val="22"/>
          <w:lang w:val="en-US"/>
        </w:rPr>
        <w:t xml:space="preserve"> II</w:t>
      </w:r>
    </w:p>
    <w:p w14:paraId="37C0A94B" w14:textId="77777777" w:rsidR="00CF59EF" w:rsidRDefault="000B5D37">
      <w:pPr>
        <w:tabs>
          <w:tab w:val="left" w:pos="8505"/>
        </w:tabs>
        <w:spacing w:before="480"/>
        <w:ind w:left="-142" w:right="-45"/>
        <w:jc w:val="center"/>
        <w:rPr>
          <w:sz w:val="36"/>
          <w:szCs w:val="36"/>
        </w:rPr>
      </w:pPr>
      <w:r>
        <w:rPr>
          <w:noProof/>
          <w:lang w:val="nl-NL" w:eastAsia="nl-NL"/>
        </w:rPr>
        <mc:AlternateContent>
          <mc:Choice Requires="wps">
            <w:drawing>
              <wp:anchor distT="0" distB="0" distL="114300" distR="114300" simplePos="0" relativeHeight="2" behindDoc="0" locked="0" layoutInCell="1" allowOverlap="1" wp14:anchorId="31188A93" wp14:editId="1588F47C">
                <wp:simplePos x="0" y="0"/>
                <wp:positionH relativeFrom="column">
                  <wp:posOffset>-394335</wp:posOffset>
                </wp:positionH>
                <wp:positionV relativeFrom="paragraph">
                  <wp:posOffset>6985</wp:posOffset>
                </wp:positionV>
                <wp:extent cx="6528600" cy="7972425"/>
                <wp:effectExtent l="0" t="0" r="24765" b="28575"/>
                <wp:wrapNone/>
                <wp:docPr id="1" name="Rectangle 4"/>
                <wp:cNvGraphicFramePr/>
                <a:graphic xmlns:a="http://schemas.openxmlformats.org/drawingml/2006/main">
                  <a:graphicData uri="http://schemas.microsoft.com/office/word/2010/wordprocessingShape">
                    <wps:wsp>
                      <wps:cNvSpPr/>
                      <wps:spPr>
                        <a:xfrm>
                          <a:off x="0" y="0"/>
                          <a:ext cx="6528600" cy="7972425"/>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2EA034DA" id="Rectangle 4" o:spid="_x0000_s1026" style="position:absolute;margin-left:-31.05pt;margin-top:.55pt;width:514.05pt;height:627.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" filled="f" strokeweight=".26mm"/>
            </w:pict>
          </mc:Fallback>
        </mc:AlternateContent>
      </w:r>
      <w:r w:rsidRPr="00012B7A">
        <w:rPr>
          <w:sz w:val="36"/>
          <w:szCs w:val="36"/>
          <w:lang w:val="en-US"/>
        </w:rPr>
        <w:t>Regulation (EU) No 528/2012 concerning the making available on the market and use of biocidal pro</w:t>
      </w:r>
      <w:r>
        <w:rPr>
          <w:sz w:val="36"/>
          <w:szCs w:val="36"/>
        </w:rPr>
        <w:t>ducts</w:t>
      </w:r>
    </w:p>
    <w:p w14:paraId="752B7471" w14:textId="77777777" w:rsidR="00CF59EF" w:rsidRDefault="00CF59EF">
      <w:pPr>
        <w:tabs>
          <w:tab w:val="left" w:pos="8505"/>
        </w:tabs>
        <w:ind w:left="-142" w:right="-45"/>
      </w:pPr>
    </w:p>
    <w:p w14:paraId="1F1EF6DC" w14:textId="77777777" w:rsidR="00CF59EF" w:rsidRDefault="000B5D37">
      <w:pPr>
        <w:jc w:val="center"/>
        <w:rPr>
          <w:b/>
          <w:bCs/>
          <w:sz w:val="36"/>
          <w:szCs w:val="36"/>
        </w:rPr>
      </w:pPr>
      <w:r>
        <w:rPr>
          <w:b/>
          <w:bCs/>
          <w:sz w:val="36"/>
          <w:szCs w:val="36"/>
        </w:rPr>
        <w:t>DRAFT RISK ASSESSMENT OF A BIOCIDAL PRODUCT (FAMILY) FOR NATIONAL AUTHORISATION APPLICATIONS</w:t>
      </w:r>
    </w:p>
    <w:p w14:paraId="01F1074E" w14:textId="77777777" w:rsidR="00CF59EF" w:rsidRDefault="000B5D37">
      <w:pPr>
        <w:jc w:val="center"/>
        <w:rPr>
          <w:bCs/>
          <w:sz w:val="24"/>
          <w:szCs w:val="24"/>
        </w:rPr>
      </w:pPr>
      <w:r>
        <w:rPr>
          <w:bCs/>
          <w:sz w:val="24"/>
          <w:szCs w:val="24"/>
        </w:rPr>
        <w:t xml:space="preserve">(submitted by the </w:t>
      </w:r>
      <w:proofErr w:type="spellStart"/>
      <w:r w:rsidR="00CD3957">
        <w:rPr>
          <w:bCs/>
          <w:sz w:val="24"/>
          <w:szCs w:val="24"/>
        </w:rPr>
        <w:t>eCA</w:t>
      </w:r>
      <w:proofErr w:type="spellEnd"/>
      <w:r>
        <w:rPr>
          <w:bCs/>
          <w:sz w:val="24"/>
          <w:szCs w:val="24"/>
        </w:rPr>
        <w:t>)</w:t>
      </w:r>
    </w:p>
    <w:p w14:paraId="16B1E35A" w14:textId="77777777" w:rsidR="00CF59EF" w:rsidRDefault="00CF59EF">
      <w:pPr>
        <w:tabs>
          <w:tab w:val="left" w:pos="8505"/>
        </w:tabs>
        <w:ind w:left="-142" w:right="-45"/>
        <w:jc w:val="center"/>
        <w:rPr>
          <w:b/>
          <w:sz w:val="36"/>
          <w:lang w:val="en-US"/>
        </w:rPr>
      </w:pPr>
    </w:p>
    <w:p w14:paraId="416BA706" w14:textId="77777777" w:rsidR="00CF59EF" w:rsidRDefault="000B5D37">
      <w:pPr>
        <w:tabs>
          <w:tab w:val="left" w:pos="8505"/>
        </w:tabs>
        <w:ind w:left="-142" w:right="-45"/>
        <w:jc w:val="center"/>
        <w:rPr>
          <w:b/>
          <w:sz w:val="36"/>
        </w:rPr>
      </w:pPr>
      <w:r>
        <w:rPr>
          <w:noProof/>
          <w:lang w:val="nl-NL" w:eastAsia="nl-NL"/>
        </w:rPr>
        <w:drawing>
          <wp:inline distT="0" distB="9525" distL="0" distR="0" wp14:anchorId="4217ECAC" wp14:editId="2ADF6218">
            <wp:extent cx="1200150" cy="1247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1200150" cy="1247775"/>
                    </a:xfrm>
                    <a:prstGeom prst="rect">
                      <a:avLst/>
                    </a:prstGeom>
                  </pic:spPr>
                </pic:pic>
              </a:graphicData>
            </a:graphic>
          </wp:inline>
        </w:drawing>
      </w:r>
    </w:p>
    <w:p w14:paraId="59F36BEB" w14:textId="77777777" w:rsidR="00CF59EF" w:rsidRDefault="00A90C35">
      <w:pPr>
        <w:keepNext/>
        <w:widowControl w:val="0"/>
        <w:tabs>
          <w:tab w:val="left" w:pos="1304"/>
        </w:tabs>
        <w:suppressAutoHyphens/>
        <w:spacing w:before="480" w:after="120" w:line="400" w:lineRule="atLeast"/>
        <w:jc w:val="center"/>
        <w:rPr>
          <w:bCs/>
          <w:sz w:val="32"/>
          <w:szCs w:val="32"/>
        </w:rPr>
      </w:pPr>
      <w:r>
        <w:rPr>
          <w:bCs/>
          <w:sz w:val="32"/>
          <w:szCs w:val="32"/>
        </w:rPr>
        <w:t xml:space="preserve">Product name: </w:t>
      </w:r>
      <w:proofErr w:type="spellStart"/>
      <w:r>
        <w:rPr>
          <w:bCs/>
          <w:sz w:val="32"/>
          <w:szCs w:val="32"/>
        </w:rPr>
        <w:t>Purox</w:t>
      </w:r>
      <w:proofErr w:type="spellEnd"/>
      <w:r w:rsidR="006A6E77" w:rsidRPr="006A6E77">
        <w:rPr>
          <w:sz w:val="32"/>
          <w:szCs w:val="32"/>
          <w:vertAlign w:val="superscript"/>
        </w:rPr>
        <w:t>®</w:t>
      </w:r>
      <w:r>
        <w:rPr>
          <w:bCs/>
          <w:sz w:val="32"/>
          <w:szCs w:val="32"/>
        </w:rPr>
        <w:t xml:space="preserve"> Clean</w:t>
      </w:r>
    </w:p>
    <w:p w14:paraId="6A7FEEEF" w14:textId="77777777" w:rsidR="00CF59EF" w:rsidRDefault="00CF59EF">
      <w:pPr>
        <w:rPr>
          <w:bCs/>
        </w:rPr>
      </w:pPr>
    </w:p>
    <w:p w14:paraId="48FE3B7D" w14:textId="77777777" w:rsidR="00CF59EF" w:rsidRDefault="000B5D37">
      <w:pPr>
        <w:tabs>
          <w:tab w:val="left" w:pos="8505"/>
        </w:tabs>
        <w:ind w:left="-142" w:right="-45"/>
        <w:jc w:val="center"/>
        <w:rPr>
          <w:bCs/>
          <w:sz w:val="32"/>
          <w:szCs w:val="32"/>
        </w:rPr>
      </w:pPr>
      <w:r>
        <w:rPr>
          <w:bCs/>
          <w:sz w:val="32"/>
          <w:szCs w:val="32"/>
        </w:rPr>
        <w:t>Product type</w:t>
      </w:r>
      <w:r w:rsidR="00A90C35">
        <w:rPr>
          <w:bCs/>
          <w:sz w:val="32"/>
          <w:szCs w:val="32"/>
        </w:rPr>
        <w:t>:</w:t>
      </w:r>
      <w:r>
        <w:rPr>
          <w:bCs/>
          <w:sz w:val="32"/>
          <w:szCs w:val="32"/>
        </w:rPr>
        <w:t xml:space="preserve"> 6</w:t>
      </w:r>
    </w:p>
    <w:p w14:paraId="5C3CFD21" w14:textId="77777777" w:rsidR="00AE0B8E" w:rsidRDefault="00AE0B8E">
      <w:pPr>
        <w:tabs>
          <w:tab w:val="left" w:pos="8505"/>
        </w:tabs>
        <w:ind w:left="-142" w:right="-45"/>
        <w:jc w:val="center"/>
        <w:rPr>
          <w:bCs/>
          <w:sz w:val="32"/>
          <w:szCs w:val="32"/>
        </w:rPr>
      </w:pPr>
    </w:p>
    <w:p w14:paraId="2AC7C936" w14:textId="77777777" w:rsidR="00CF59EF" w:rsidRDefault="00CF59EF">
      <w:pPr>
        <w:tabs>
          <w:tab w:val="left" w:pos="8505"/>
        </w:tabs>
        <w:ind w:right="-45"/>
        <w:rPr>
          <w:bCs/>
        </w:rPr>
      </w:pPr>
    </w:p>
    <w:p w14:paraId="4D7ED783" w14:textId="77777777" w:rsidR="00CF59EF" w:rsidRDefault="00CD3957">
      <w:pPr>
        <w:tabs>
          <w:tab w:val="left" w:pos="8505"/>
        </w:tabs>
        <w:ind w:left="-142" w:right="-45"/>
        <w:jc w:val="center"/>
        <w:rPr>
          <w:bCs/>
          <w:sz w:val="32"/>
          <w:szCs w:val="32"/>
        </w:rPr>
      </w:pPr>
      <w:r>
        <w:rPr>
          <w:bCs/>
          <w:sz w:val="32"/>
          <w:szCs w:val="32"/>
        </w:rPr>
        <w:t xml:space="preserve">Active substance: </w:t>
      </w:r>
      <w:r w:rsidR="000B5D37">
        <w:rPr>
          <w:bCs/>
          <w:sz w:val="32"/>
          <w:szCs w:val="32"/>
        </w:rPr>
        <w:t xml:space="preserve">Sodium benzoate </w:t>
      </w:r>
    </w:p>
    <w:p w14:paraId="161E8D97" w14:textId="77777777" w:rsidR="00AE0B8E" w:rsidRDefault="00AE0B8E">
      <w:pPr>
        <w:tabs>
          <w:tab w:val="left" w:pos="8505"/>
        </w:tabs>
        <w:ind w:left="-142" w:right="-45"/>
        <w:jc w:val="center"/>
        <w:rPr>
          <w:bCs/>
          <w:sz w:val="32"/>
          <w:szCs w:val="32"/>
        </w:rPr>
      </w:pPr>
    </w:p>
    <w:p w14:paraId="2D2A9AE5" w14:textId="77777777" w:rsidR="00CF59EF" w:rsidRDefault="00CF59EF">
      <w:pPr>
        <w:tabs>
          <w:tab w:val="left" w:pos="8505"/>
        </w:tabs>
        <w:ind w:right="-45"/>
        <w:rPr>
          <w:bCs/>
        </w:rPr>
      </w:pPr>
    </w:p>
    <w:p w14:paraId="56851024" w14:textId="77777777" w:rsidR="00CF59EF" w:rsidRPr="00CD3957" w:rsidRDefault="00CD3957" w:rsidP="00CD3957">
      <w:pPr>
        <w:tabs>
          <w:tab w:val="left" w:pos="8505"/>
        </w:tabs>
        <w:ind w:right="-45"/>
        <w:jc w:val="center"/>
        <w:rPr>
          <w:bCs/>
          <w:sz w:val="32"/>
          <w:szCs w:val="32"/>
        </w:rPr>
      </w:pPr>
      <w:r>
        <w:rPr>
          <w:bCs/>
          <w:sz w:val="32"/>
          <w:szCs w:val="32"/>
        </w:rPr>
        <w:t xml:space="preserve">Case Number in R4BP: </w:t>
      </w:r>
      <w:proofErr w:type="spellStart"/>
      <w:r w:rsidR="00A55921" w:rsidRPr="002F4C58">
        <w:rPr>
          <w:rFonts w:eastAsia="Calibri"/>
          <w:highlight w:val="black"/>
        </w:rPr>
        <w:t>xxxxx</w:t>
      </w:r>
      <w:proofErr w:type="spellEnd"/>
    </w:p>
    <w:p w14:paraId="49C923D2" w14:textId="77777777" w:rsidR="00CD3957" w:rsidRDefault="00CD3957">
      <w:pPr>
        <w:tabs>
          <w:tab w:val="left" w:pos="8505"/>
        </w:tabs>
        <w:ind w:left="-142" w:right="-45"/>
        <w:jc w:val="center"/>
        <w:rPr>
          <w:bCs/>
          <w:sz w:val="32"/>
          <w:szCs w:val="32"/>
        </w:rPr>
      </w:pPr>
    </w:p>
    <w:p w14:paraId="44701AF6" w14:textId="77777777" w:rsidR="00AE0B8E" w:rsidRDefault="00AE0B8E">
      <w:pPr>
        <w:tabs>
          <w:tab w:val="left" w:pos="8505"/>
        </w:tabs>
        <w:ind w:left="-142" w:right="-45"/>
        <w:jc w:val="center"/>
        <w:rPr>
          <w:bCs/>
          <w:sz w:val="32"/>
          <w:szCs w:val="32"/>
        </w:rPr>
      </w:pPr>
    </w:p>
    <w:p w14:paraId="1BC729E2" w14:textId="77777777" w:rsidR="00CF59EF" w:rsidRDefault="000B5D37">
      <w:pPr>
        <w:tabs>
          <w:tab w:val="left" w:pos="8505"/>
        </w:tabs>
        <w:ind w:left="-142" w:right="-45"/>
        <w:jc w:val="center"/>
        <w:rPr>
          <w:bCs/>
          <w:sz w:val="32"/>
          <w:szCs w:val="32"/>
        </w:rPr>
      </w:pPr>
      <w:r>
        <w:rPr>
          <w:bCs/>
          <w:sz w:val="32"/>
          <w:szCs w:val="32"/>
        </w:rPr>
        <w:t>Evaluating Competent Authority: NL</w:t>
      </w:r>
    </w:p>
    <w:p w14:paraId="429E86C3" w14:textId="77777777" w:rsidR="00CF59EF" w:rsidRDefault="000B5D37">
      <w:pPr>
        <w:tabs>
          <w:tab w:val="left" w:pos="8505"/>
        </w:tabs>
        <w:ind w:left="-142" w:right="-45"/>
        <w:jc w:val="center"/>
      </w:pPr>
      <w:r>
        <w:t xml:space="preserve"> </w:t>
      </w:r>
    </w:p>
    <w:p w14:paraId="56A4C181" w14:textId="77777777" w:rsidR="00CD3957" w:rsidRDefault="00CD3957">
      <w:pPr>
        <w:tabs>
          <w:tab w:val="left" w:pos="8505"/>
        </w:tabs>
        <w:ind w:left="-142" w:right="-45"/>
        <w:jc w:val="center"/>
        <w:rPr>
          <w:bCs/>
          <w:sz w:val="32"/>
          <w:szCs w:val="32"/>
        </w:rPr>
      </w:pPr>
    </w:p>
    <w:p w14:paraId="09A04377" w14:textId="77777777" w:rsidR="00561187" w:rsidRDefault="000B5D37">
      <w:pPr>
        <w:tabs>
          <w:tab w:val="left" w:pos="8505"/>
        </w:tabs>
        <w:ind w:left="-142" w:right="-45"/>
        <w:jc w:val="center"/>
        <w:rPr>
          <w:bCs/>
          <w:sz w:val="32"/>
          <w:szCs w:val="32"/>
        </w:rPr>
      </w:pPr>
      <w:r>
        <w:rPr>
          <w:bCs/>
          <w:sz w:val="32"/>
          <w:szCs w:val="32"/>
        </w:rPr>
        <w:t xml:space="preserve">Date: </w:t>
      </w:r>
      <w:r w:rsidR="00FA2AA1">
        <w:rPr>
          <w:bCs/>
          <w:sz w:val="32"/>
          <w:szCs w:val="32"/>
        </w:rPr>
        <w:t>2-8</w:t>
      </w:r>
      <w:r w:rsidR="00064888">
        <w:rPr>
          <w:bCs/>
          <w:sz w:val="32"/>
          <w:szCs w:val="32"/>
        </w:rPr>
        <w:t>-2019</w:t>
      </w:r>
      <w:r>
        <w:rPr>
          <w:bCs/>
          <w:sz w:val="32"/>
          <w:szCs w:val="32"/>
        </w:rPr>
        <w:t xml:space="preserve"> </w:t>
      </w:r>
    </w:p>
    <w:p w14:paraId="6448D849" w14:textId="77777777" w:rsidR="00E675A1" w:rsidRDefault="00E675A1">
      <w:pPr>
        <w:tabs>
          <w:tab w:val="left" w:pos="8505"/>
        </w:tabs>
        <w:ind w:left="-142" w:right="-45"/>
        <w:jc w:val="center"/>
        <w:rPr>
          <w:bCs/>
          <w:sz w:val="32"/>
          <w:szCs w:val="32"/>
          <w:highlight w:val="yellow"/>
        </w:rPr>
      </w:pPr>
    </w:p>
    <w:p w14:paraId="599E613A" w14:textId="77777777" w:rsidR="00CF59EF" w:rsidRPr="00AE0B8E" w:rsidRDefault="00E675A1" w:rsidP="00AE0B8E">
      <w:pPr>
        <w:tabs>
          <w:tab w:val="left" w:pos="8505"/>
        </w:tabs>
        <w:ind w:left="-142" w:right="-45"/>
        <w:rPr>
          <w:sz w:val="18"/>
          <w:szCs w:val="18"/>
        </w:rPr>
      </w:pPr>
      <w:r w:rsidRPr="00AE0B8E">
        <w:rPr>
          <w:bCs/>
          <w:sz w:val="18"/>
          <w:szCs w:val="18"/>
          <w:highlight w:val="yellow"/>
        </w:rPr>
        <w:t xml:space="preserve">*adaptations </w:t>
      </w:r>
      <w:r w:rsidR="00AE0B8E" w:rsidRPr="00AE0B8E">
        <w:rPr>
          <w:bCs/>
          <w:sz w:val="18"/>
          <w:szCs w:val="18"/>
          <w:highlight w:val="yellow"/>
        </w:rPr>
        <w:t>in yellow (November 2019, in the process of Mutual Recognition in Sequence)</w:t>
      </w:r>
      <w:r w:rsidRPr="00AE0B8E">
        <w:rPr>
          <w:bCs/>
          <w:sz w:val="18"/>
          <w:szCs w:val="18"/>
        </w:rPr>
        <w:t xml:space="preserve"> </w:t>
      </w:r>
      <w:r w:rsidR="000B5D37" w:rsidRPr="00AE0B8E">
        <w:rPr>
          <w:sz w:val="18"/>
          <w:szCs w:val="18"/>
        </w:rPr>
        <w:br w:type="page"/>
      </w:r>
    </w:p>
    <w:p w14:paraId="2C04DFD0" w14:textId="77777777" w:rsidR="00CF59EF" w:rsidRDefault="000B5D37">
      <w:pPr>
        <w:pStyle w:val="Inhaltsverzeichnisberschrift"/>
        <w:rPr>
          <w:rFonts w:ascii="Verdana" w:hAnsi="Verdana"/>
          <w:color w:val="00000A"/>
          <w:u w:val="single"/>
        </w:rPr>
      </w:pPr>
      <w:bookmarkStart w:id="0" w:name="_Toc531868616"/>
      <w:r>
        <w:rPr>
          <w:rFonts w:ascii="Verdana" w:hAnsi="Verdana"/>
          <w:color w:val="00000A"/>
          <w:u w:val="single"/>
        </w:rPr>
        <w:lastRenderedPageBreak/>
        <w:t>Table of Contents</w:t>
      </w:r>
      <w:bookmarkEnd w:id="0"/>
    </w:p>
    <w:p w14:paraId="520AFE10" w14:textId="77777777" w:rsidR="00CF59EF" w:rsidRDefault="00CF59EF"/>
    <w:p w14:paraId="0AC17AF1" w14:textId="77777777" w:rsidR="004169BF" w:rsidRPr="00E675A1" w:rsidRDefault="000B5D37">
      <w:pPr>
        <w:pStyle w:val="TOC1"/>
        <w:tabs>
          <w:tab w:val="right" w:leader="dot" w:pos="9203"/>
        </w:tabs>
        <w:rPr>
          <w:rFonts w:asciiTheme="minorHAnsi" w:eastAsiaTheme="minorEastAsia" w:hAnsiTheme="minorHAnsi" w:cstheme="minorBidi"/>
          <w:b w:val="0"/>
          <w:bCs w:val="0"/>
          <w:caps w:val="0"/>
          <w:noProof/>
          <w:sz w:val="22"/>
          <w:szCs w:val="22"/>
          <w:lang w:val="en-US" w:eastAsia="nl-NL"/>
        </w:rPr>
      </w:pPr>
      <w:r>
        <w:fldChar w:fldCharType="begin"/>
      </w:r>
      <w:r>
        <w:instrText>TOC \z \o "1-4" \u \h</w:instrText>
      </w:r>
      <w:r>
        <w:fldChar w:fldCharType="separate"/>
      </w:r>
    </w:p>
    <w:p w14:paraId="3B961BD6" w14:textId="45CD992D" w:rsidR="004169BF" w:rsidRDefault="00980D14">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17" w:history="1">
        <w:r w:rsidR="004169BF" w:rsidRPr="004535DB">
          <w:rPr>
            <w:rStyle w:val="Hyperlink"/>
            <w:rFonts w:eastAsia="Calibri"/>
            <w:noProof/>
            <w:lang w:bidi="x-none"/>
          </w:rPr>
          <w:t>1.</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CONCLUSION</w:t>
        </w:r>
        <w:r w:rsidR="004169BF">
          <w:rPr>
            <w:noProof/>
            <w:webHidden/>
          </w:rPr>
          <w:tab/>
        </w:r>
        <w:r w:rsidR="004169BF">
          <w:rPr>
            <w:noProof/>
            <w:webHidden/>
          </w:rPr>
          <w:fldChar w:fldCharType="begin"/>
        </w:r>
        <w:r w:rsidR="004169BF">
          <w:rPr>
            <w:noProof/>
            <w:webHidden/>
          </w:rPr>
          <w:instrText xml:space="preserve"> PAGEREF _Toc531868617 \h </w:instrText>
        </w:r>
        <w:r w:rsidR="004169BF">
          <w:rPr>
            <w:noProof/>
            <w:webHidden/>
          </w:rPr>
        </w:r>
        <w:r w:rsidR="004169BF">
          <w:rPr>
            <w:noProof/>
            <w:webHidden/>
          </w:rPr>
          <w:fldChar w:fldCharType="separate"/>
        </w:r>
        <w:r w:rsidR="00F03775">
          <w:rPr>
            <w:noProof/>
            <w:webHidden/>
          </w:rPr>
          <w:t>5</w:t>
        </w:r>
        <w:r w:rsidR="004169BF">
          <w:rPr>
            <w:noProof/>
            <w:webHidden/>
          </w:rPr>
          <w:fldChar w:fldCharType="end"/>
        </w:r>
      </w:hyperlink>
    </w:p>
    <w:p w14:paraId="08B6A1A2" w14:textId="43FE4B4A" w:rsidR="004169BF" w:rsidRDefault="00980D14">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18" w:history="1">
        <w:r w:rsidR="004169BF" w:rsidRPr="004535DB">
          <w:rPr>
            <w:rStyle w:val="Hyperlink"/>
            <w:rFonts w:eastAsia="Calibri"/>
            <w:noProof/>
            <w:lang w:bidi="x-none"/>
          </w:rPr>
          <w:t>2.</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ASSESSMENT REPORT</w:t>
        </w:r>
        <w:r w:rsidR="004169BF">
          <w:rPr>
            <w:noProof/>
            <w:webHidden/>
          </w:rPr>
          <w:tab/>
        </w:r>
        <w:r w:rsidR="004169BF">
          <w:rPr>
            <w:noProof/>
            <w:webHidden/>
          </w:rPr>
          <w:fldChar w:fldCharType="begin"/>
        </w:r>
        <w:r w:rsidR="004169BF">
          <w:rPr>
            <w:noProof/>
            <w:webHidden/>
          </w:rPr>
          <w:instrText xml:space="preserve"> PAGEREF _Toc531868618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616382DD" w14:textId="15F50FAD"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19" w:history="1">
        <w:r w:rsidR="004169BF" w:rsidRPr="004535DB">
          <w:rPr>
            <w:rStyle w:val="Hyperlink"/>
            <w:noProof/>
          </w:rPr>
          <w:t>2.1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Summary of the product assessment</w:t>
        </w:r>
        <w:r w:rsidR="004169BF">
          <w:rPr>
            <w:noProof/>
            <w:webHidden/>
          </w:rPr>
          <w:tab/>
        </w:r>
        <w:r w:rsidR="004169BF">
          <w:rPr>
            <w:noProof/>
            <w:webHidden/>
          </w:rPr>
          <w:fldChar w:fldCharType="begin"/>
        </w:r>
        <w:r w:rsidR="004169BF">
          <w:rPr>
            <w:noProof/>
            <w:webHidden/>
          </w:rPr>
          <w:instrText xml:space="preserve"> PAGEREF _Toc531868619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41A04F46" w14:textId="5240F6E1"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20" w:history="1">
        <w:r w:rsidR="004169BF" w:rsidRPr="004535DB">
          <w:rPr>
            <w:rStyle w:val="Hyperlink"/>
            <w:noProof/>
          </w:rPr>
          <w:t>2.1.1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Administrative information</w:t>
        </w:r>
        <w:r w:rsidR="004169BF">
          <w:rPr>
            <w:noProof/>
            <w:webHidden/>
          </w:rPr>
          <w:tab/>
        </w:r>
        <w:r w:rsidR="004169BF">
          <w:rPr>
            <w:noProof/>
            <w:webHidden/>
          </w:rPr>
          <w:fldChar w:fldCharType="begin"/>
        </w:r>
        <w:r w:rsidR="004169BF">
          <w:rPr>
            <w:noProof/>
            <w:webHidden/>
          </w:rPr>
          <w:instrText xml:space="preserve"> PAGEREF _Toc531868620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3E0DF4FD" w14:textId="60C79020"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1" w:history="1">
        <w:r w:rsidR="004169BF" w:rsidRPr="004535DB">
          <w:rPr>
            <w:rStyle w:val="Hyperlink"/>
            <w:noProof/>
          </w:rPr>
          <w:t>2.1.1.1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Identifier of the product</w:t>
        </w:r>
        <w:r w:rsidR="004169BF">
          <w:rPr>
            <w:noProof/>
            <w:webHidden/>
          </w:rPr>
          <w:tab/>
        </w:r>
        <w:r w:rsidR="004169BF">
          <w:rPr>
            <w:noProof/>
            <w:webHidden/>
          </w:rPr>
          <w:fldChar w:fldCharType="begin"/>
        </w:r>
        <w:r w:rsidR="004169BF">
          <w:rPr>
            <w:noProof/>
            <w:webHidden/>
          </w:rPr>
          <w:instrText xml:space="preserve"> PAGEREF _Toc531868621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387C6F78" w14:textId="1B8B3982"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2" w:history="1">
        <w:r w:rsidR="004169BF" w:rsidRPr="004535DB">
          <w:rPr>
            <w:rStyle w:val="Hyperlink"/>
            <w:noProof/>
          </w:rPr>
          <w:t>2.1.1.2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Authorisation holder</w:t>
        </w:r>
        <w:r w:rsidR="004169BF">
          <w:rPr>
            <w:noProof/>
            <w:webHidden/>
          </w:rPr>
          <w:tab/>
        </w:r>
        <w:r w:rsidR="004169BF">
          <w:rPr>
            <w:noProof/>
            <w:webHidden/>
          </w:rPr>
          <w:fldChar w:fldCharType="begin"/>
        </w:r>
        <w:r w:rsidR="004169BF">
          <w:rPr>
            <w:noProof/>
            <w:webHidden/>
          </w:rPr>
          <w:instrText xml:space="preserve"> PAGEREF _Toc531868622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18CD151B" w14:textId="506B001B"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3" w:history="1">
        <w:r w:rsidR="004169BF" w:rsidRPr="004535DB">
          <w:rPr>
            <w:rStyle w:val="Hyperlink"/>
            <w:noProof/>
          </w:rPr>
          <w:t>2.1.1.3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Manufacturer of the biocidal product</w:t>
        </w:r>
        <w:r w:rsidR="004169BF">
          <w:rPr>
            <w:noProof/>
            <w:webHidden/>
          </w:rPr>
          <w:tab/>
        </w:r>
        <w:r w:rsidR="004169BF">
          <w:rPr>
            <w:noProof/>
            <w:webHidden/>
          </w:rPr>
          <w:fldChar w:fldCharType="begin"/>
        </w:r>
        <w:r w:rsidR="004169BF">
          <w:rPr>
            <w:noProof/>
            <w:webHidden/>
          </w:rPr>
          <w:instrText xml:space="preserve"> PAGEREF _Toc531868623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0EAF5D5E" w14:textId="42EDD79D"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4" w:history="1">
        <w:r w:rsidR="004169BF" w:rsidRPr="004535DB">
          <w:rPr>
            <w:rStyle w:val="Hyperlink"/>
            <w:noProof/>
          </w:rPr>
          <w:t>2.1.1.4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Manufacturer of the active substance</w:t>
        </w:r>
        <w:r w:rsidR="004169BF">
          <w:rPr>
            <w:noProof/>
            <w:webHidden/>
          </w:rPr>
          <w:tab/>
        </w:r>
        <w:r w:rsidR="004169BF">
          <w:rPr>
            <w:noProof/>
            <w:webHidden/>
          </w:rPr>
          <w:fldChar w:fldCharType="begin"/>
        </w:r>
        <w:r w:rsidR="004169BF">
          <w:rPr>
            <w:noProof/>
            <w:webHidden/>
          </w:rPr>
          <w:instrText xml:space="preserve"> PAGEREF _Toc531868624 \h </w:instrText>
        </w:r>
        <w:r w:rsidR="004169BF">
          <w:rPr>
            <w:noProof/>
            <w:webHidden/>
          </w:rPr>
        </w:r>
        <w:r w:rsidR="004169BF">
          <w:rPr>
            <w:noProof/>
            <w:webHidden/>
          </w:rPr>
          <w:fldChar w:fldCharType="separate"/>
        </w:r>
        <w:r w:rsidR="00F03775">
          <w:rPr>
            <w:noProof/>
            <w:webHidden/>
          </w:rPr>
          <w:t>7</w:t>
        </w:r>
        <w:r w:rsidR="004169BF">
          <w:rPr>
            <w:noProof/>
            <w:webHidden/>
          </w:rPr>
          <w:fldChar w:fldCharType="end"/>
        </w:r>
      </w:hyperlink>
    </w:p>
    <w:p w14:paraId="789D873B" w14:textId="0992FDBC"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25" w:history="1">
        <w:r w:rsidR="004169BF" w:rsidRPr="004535DB">
          <w:rPr>
            <w:rStyle w:val="Hyperlink"/>
            <w:noProof/>
          </w:rPr>
          <w:t>2.1.2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Product composition and formulation</w:t>
        </w:r>
        <w:r w:rsidR="004169BF">
          <w:rPr>
            <w:noProof/>
            <w:webHidden/>
          </w:rPr>
          <w:tab/>
        </w:r>
        <w:r w:rsidR="004169BF">
          <w:rPr>
            <w:noProof/>
            <w:webHidden/>
          </w:rPr>
          <w:fldChar w:fldCharType="begin"/>
        </w:r>
        <w:r w:rsidR="004169BF">
          <w:rPr>
            <w:noProof/>
            <w:webHidden/>
          </w:rPr>
          <w:instrText xml:space="preserve"> PAGEREF _Toc531868625 \h </w:instrText>
        </w:r>
        <w:r w:rsidR="004169BF">
          <w:rPr>
            <w:noProof/>
            <w:webHidden/>
          </w:rPr>
        </w:r>
        <w:r w:rsidR="004169BF">
          <w:rPr>
            <w:noProof/>
            <w:webHidden/>
          </w:rPr>
          <w:fldChar w:fldCharType="separate"/>
        </w:r>
        <w:r w:rsidR="00F03775">
          <w:rPr>
            <w:noProof/>
            <w:webHidden/>
          </w:rPr>
          <w:t>8</w:t>
        </w:r>
        <w:r w:rsidR="004169BF">
          <w:rPr>
            <w:noProof/>
            <w:webHidden/>
          </w:rPr>
          <w:fldChar w:fldCharType="end"/>
        </w:r>
      </w:hyperlink>
    </w:p>
    <w:p w14:paraId="4E59E974" w14:textId="432F0F36"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6" w:history="1">
        <w:r w:rsidR="004169BF" w:rsidRPr="004535DB">
          <w:rPr>
            <w:rStyle w:val="Hyperlink"/>
            <w:noProof/>
          </w:rPr>
          <w:t>2.1.2.1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Identity of the active substance</w:t>
        </w:r>
        <w:r w:rsidR="004169BF">
          <w:rPr>
            <w:noProof/>
            <w:webHidden/>
          </w:rPr>
          <w:tab/>
        </w:r>
        <w:r w:rsidR="004169BF">
          <w:rPr>
            <w:noProof/>
            <w:webHidden/>
          </w:rPr>
          <w:fldChar w:fldCharType="begin"/>
        </w:r>
        <w:r w:rsidR="004169BF">
          <w:rPr>
            <w:noProof/>
            <w:webHidden/>
          </w:rPr>
          <w:instrText xml:space="preserve"> PAGEREF _Toc531868626 \h </w:instrText>
        </w:r>
        <w:r w:rsidR="004169BF">
          <w:rPr>
            <w:noProof/>
            <w:webHidden/>
          </w:rPr>
        </w:r>
        <w:r w:rsidR="004169BF">
          <w:rPr>
            <w:noProof/>
            <w:webHidden/>
          </w:rPr>
          <w:fldChar w:fldCharType="separate"/>
        </w:r>
        <w:r w:rsidR="00F03775">
          <w:rPr>
            <w:noProof/>
            <w:webHidden/>
          </w:rPr>
          <w:t>8</w:t>
        </w:r>
        <w:r w:rsidR="004169BF">
          <w:rPr>
            <w:noProof/>
            <w:webHidden/>
          </w:rPr>
          <w:fldChar w:fldCharType="end"/>
        </w:r>
      </w:hyperlink>
    </w:p>
    <w:p w14:paraId="6A5DED44" w14:textId="6FD52521"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7" w:history="1">
        <w:r w:rsidR="004169BF" w:rsidRPr="004535DB">
          <w:rPr>
            <w:rStyle w:val="Hyperlink"/>
            <w:noProof/>
          </w:rPr>
          <w:t>2.1.2.2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Candidate(s) for substitution</w:t>
        </w:r>
        <w:r w:rsidR="004169BF">
          <w:rPr>
            <w:noProof/>
            <w:webHidden/>
          </w:rPr>
          <w:tab/>
        </w:r>
        <w:r w:rsidR="004169BF">
          <w:rPr>
            <w:noProof/>
            <w:webHidden/>
          </w:rPr>
          <w:fldChar w:fldCharType="begin"/>
        </w:r>
        <w:r w:rsidR="004169BF">
          <w:rPr>
            <w:noProof/>
            <w:webHidden/>
          </w:rPr>
          <w:instrText xml:space="preserve"> PAGEREF _Toc531868627 \h </w:instrText>
        </w:r>
        <w:r w:rsidR="004169BF">
          <w:rPr>
            <w:noProof/>
            <w:webHidden/>
          </w:rPr>
        </w:r>
        <w:r w:rsidR="004169BF">
          <w:rPr>
            <w:noProof/>
            <w:webHidden/>
          </w:rPr>
          <w:fldChar w:fldCharType="separate"/>
        </w:r>
        <w:r w:rsidR="00F03775">
          <w:rPr>
            <w:noProof/>
            <w:webHidden/>
          </w:rPr>
          <w:t>8</w:t>
        </w:r>
        <w:r w:rsidR="004169BF">
          <w:rPr>
            <w:noProof/>
            <w:webHidden/>
          </w:rPr>
          <w:fldChar w:fldCharType="end"/>
        </w:r>
      </w:hyperlink>
    </w:p>
    <w:p w14:paraId="306439A6" w14:textId="17CCFA83"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8" w:history="1">
        <w:r w:rsidR="004169BF" w:rsidRPr="004535DB">
          <w:rPr>
            <w:rStyle w:val="Hyperlink"/>
            <w:noProof/>
          </w:rPr>
          <w:t>2.1.2.3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Qualitative and quantitative information on the composition of the biocidal product</w:t>
        </w:r>
        <w:r w:rsidR="004169BF">
          <w:rPr>
            <w:noProof/>
            <w:webHidden/>
          </w:rPr>
          <w:tab/>
        </w:r>
        <w:r w:rsidR="004169BF">
          <w:rPr>
            <w:noProof/>
            <w:webHidden/>
          </w:rPr>
          <w:fldChar w:fldCharType="begin"/>
        </w:r>
        <w:r w:rsidR="004169BF">
          <w:rPr>
            <w:noProof/>
            <w:webHidden/>
          </w:rPr>
          <w:instrText xml:space="preserve"> PAGEREF _Toc531868628 \h </w:instrText>
        </w:r>
        <w:r w:rsidR="004169BF">
          <w:rPr>
            <w:noProof/>
            <w:webHidden/>
          </w:rPr>
        </w:r>
        <w:r w:rsidR="004169BF">
          <w:rPr>
            <w:noProof/>
            <w:webHidden/>
          </w:rPr>
          <w:fldChar w:fldCharType="separate"/>
        </w:r>
        <w:r w:rsidR="00F03775">
          <w:rPr>
            <w:noProof/>
            <w:webHidden/>
          </w:rPr>
          <w:t>8</w:t>
        </w:r>
        <w:r w:rsidR="004169BF">
          <w:rPr>
            <w:noProof/>
            <w:webHidden/>
          </w:rPr>
          <w:fldChar w:fldCharType="end"/>
        </w:r>
      </w:hyperlink>
    </w:p>
    <w:p w14:paraId="10045705" w14:textId="5C140E52"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9" w:history="1">
        <w:r w:rsidR="004169BF" w:rsidRPr="004535DB">
          <w:rPr>
            <w:rStyle w:val="Hyperlink"/>
            <w:noProof/>
          </w:rPr>
          <w:t>2.1.2.4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Information on technical equivalence</w:t>
        </w:r>
        <w:r w:rsidR="004169BF">
          <w:rPr>
            <w:noProof/>
            <w:webHidden/>
          </w:rPr>
          <w:tab/>
        </w:r>
        <w:r w:rsidR="004169BF">
          <w:rPr>
            <w:noProof/>
            <w:webHidden/>
          </w:rPr>
          <w:fldChar w:fldCharType="begin"/>
        </w:r>
        <w:r w:rsidR="004169BF">
          <w:rPr>
            <w:noProof/>
            <w:webHidden/>
          </w:rPr>
          <w:instrText xml:space="preserve"> PAGEREF _Toc531868629 \h </w:instrText>
        </w:r>
        <w:r w:rsidR="004169BF">
          <w:rPr>
            <w:noProof/>
            <w:webHidden/>
          </w:rPr>
        </w:r>
        <w:r w:rsidR="004169BF">
          <w:rPr>
            <w:noProof/>
            <w:webHidden/>
          </w:rPr>
          <w:fldChar w:fldCharType="separate"/>
        </w:r>
        <w:r w:rsidR="00F03775">
          <w:rPr>
            <w:noProof/>
            <w:webHidden/>
          </w:rPr>
          <w:t>8</w:t>
        </w:r>
        <w:r w:rsidR="004169BF">
          <w:rPr>
            <w:noProof/>
            <w:webHidden/>
          </w:rPr>
          <w:fldChar w:fldCharType="end"/>
        </w:r>
      </w:hyperlink>
    </w:p>
    <w:p w14:paraId="118B19C2" w14:textId="14292CB8"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0" w:history="1">
        <w:r w:rsidR="004169BF" w:rsidRPr="004535DB">
          <w:rPr>
            <w:rStyle w:val="Hyperlink"/>
            <w:noProof/>
          </w:rPr>
          <w:t>2.1.2.5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Information on the substance(s) of concern</w:t>
        </w:r>
        <w:r w:rsidR="004169BF">
          <w:rPr>
            <w:noProof/>
            <w:webHidden/>
          </w:rPr>
          <w:tab/>
        </w:r>
        <w:r w:rsidR="004169BF">
          <w:rPr>
            <w:noProof/>
            <w:webHidden/>
          </w:rPr>
          <w:fldChar w:fldCharType="begin"/>
        </w:r>
        <w:r w:rsidR="004169BF">
          <w:rPr>
            <w:noProof/>
            <w:webHidden/>
          </w:rPr>
          <w:instrText xml:space="preserve"> PAGEREF _Toc531868630 \h </w:instrText>
        </w:r>
        <w:r w:rsidR="004169BF">
          <w:rPr>
            <w:noProof/>
            <w:webHidden/>
          </w:rPr>
        </w:r>
        <w:r w:rsidR="004169BF">
          <w:rPr>
            <w:noProof/>
            <w:webHidden/>
          </w:rPr>
          <w:fldChar w:fldCharType="separate"/>
        </w:r>
        <w:r w:rsidR="00F03775">
          <w:rPr>
            <w:noProof/>
            <w:webHidden/>
          </w:rPr>
          <w:t>9</w:t>
        </w:r>
        <w:r w:rsidR="004169BF">
          <w:rPr>
            <w:noProof/>
            <w:webHidden/>
          </w:rPr>
          <w:fldChar w:fldCharType="end"/>
        </w:r>
      </w:hyperlink>
    </w:p>
    <w:p w14:paraId="2067F122" w14:textId="4AA10D52"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1" w:history="1">
        <w:r w:rsidR="004169BF" w:rsidRPr="004535DB">
          <w:rPr>
            <w:rStyle w:val="Hyperlink"/>
            <w:noProof/>
          </w:rPr>
          <w:t>2.1.2.6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Type of formulation</w:t>
        </w:r>
        <w:r w:rsidR="004169BF">
          <w:rPr>
            <w:noProof/>
            <w:webHidden/>
          </w:rPr>
          <w:tab/>
        </w:r>
        <w:r w:rsidR="004169BF">
          <w:rPr>
            <w:noProof/>
            <w:webHidden/>
          </w:rPr>
          <w:fldChar w:fldCharType="begin"/>
        </w:r>
        <w:r w:rsidR="004169BF">
          <w:rPr>
            <w:noProof/>
            <w:webHidden/>
          </w:rPr>
          <w:instrText xml:space="preserve"> PAGEREF _Toc531868631 \h </w:instrText>
        </w:r>
        <w:r w:rsidR="004169BF">
          <w:rPr>
            <w:noProof/>
            <w:webHidden/>
          </w:rPr>
        </w:r>
        <w:r w:rsidR="004169BF">
          <w:rPr>
            <w:noProof/>
            <w:webHidden/>
          </w:rPr>
          <w:fldChar w:fldCharType="separate"/>
        </w:r>
        <w:r w:rsidR="00F03775">
          <w:rPr>
            <w:noProof/>
            <w:webHidden/>
          </w:rPr>
          <w:t>9</w:t>
        </w:r>
        <w:r w:rsidR="004169BF">
          <w:rPr>
            <w:noProof/>
            <w:webHidden/>
          </w:rPr>
          <w:fldChar w:fldCharType="end"/>
        </w:r>
      </w:hyperlink>
    </w:p>
    <w:p w14:paraId="4E9A6E08" w14:textId="2AE3C7C4"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32" w:history="1">
        <w:r w:rsidR="004169BF" w:rsidRPr="004535DB">
          <w:rPr>
            <w:rStyle w:val="Hyperlink"/>
            <w:noProof/>
          </w:rPr>
          <w:t>2.1.3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Hazard and precautionary statements</w:t>
        </w:r>
        <w:r w:rsidR="004169BF">
          <w:rPr>
            <w:noProof/>
            <w:webHidden/>
          </w:rPr>
          <w:tab/>
        </w:r>
        <w:r w:rsidR="004169BF">
          <w:rPr>
            <w:noProof/>
            <w:webHidden/>
          </w:rPr>
          <w:fldChar w:fldCharType="begin"/>
        </w:r>
        <w:r w:rsidR="004169BF">
          <w:rPr>
            <w:noProof/>
            <w:webHidden/>
          </w:rPr>
          <w:instrText xml:space="preserve"> PAGEREF _Toc531868632 \h </w:instrText>
        </w:r>
        <w:r w:rsidR="004169BF">
          <w:rPr>
            <w:noProof/>
            <w:webHidden/>
          </w:rPr>
        </w:r>
        <w:r w:rsidR="004169BF">
          <w:rPr>
            <w:noProof/>
            <w:webHidden/>
          </w:rPr>
          <w:fldChar w:fldCharType="separate"/>
        </w:r>
        <w:r w:rsidR="00F03775">
          <w:rPr>
            <w:noProof/>
            <w:webHidden/>
          </w:rPr>
          <w:t>9</w:t>
        </w:r>
        <w:r w:rsidR="004169BF">
          <w:rPr>
            <w:noProof/>
            <w:webHidden/>
          </w:rPr>
          <w:fldChar w:fldCharType="end"/>
        </w:r>
      </w:hyperlink>
    </w:p>
    <w:p w14:paraId="157C0A17" w14:textId="6FA1B23F"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33" w:history="1">
        <w:r w:rsidR="004169BF" w:rsidRPr="004535DB">
          <w:rPr>
            <w:rStyle w:val="Hyperlink"/>
            <w:noProof/>
          </w:rPr>
          <w:t>2.1.4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Authorised use(s)</w:t>
        </w:r>
        <w:r w:rsidR="004169BF">
          <w:rPr>
            <w:noProof/>
            <w:webHidden/>
          </w:rPr>
          <w:tab/>
        </w:r>
        <w:r w:rsidR="004169BF">
          <w:rPr>
            <w:noProof/>
            <w:webHidden/>
          </w:rPr>
          <w:fldChar w:fldCharType="begin"/>
        </w:r>
        <w:r w:rsidR="004169BF">
          <w:rPr>
            <w:noProof/>
            <w:webHidden/>
          </w:rPr>
          <w:instrText xml:space="preserve"> PAGEREF _Toc531868633 \h </w:instrText>
        </w:r>
        <w:r w:rsidR="004169BF">
          <w:rPr>
            <w:noProof/>
            <w:webHidden/>
          </w:rPr>
        </w:r>
        <w:r w:rsidR="004169BF">
          <w:rPr>
            <w:noProof/>
            <w:webHidden/>
          </w:rPr>
          <w:fldChar w:fldCharType="separate"/>
        </w:r>
        <w:r w:rsidR="00F03775">
          <w:rPr>
            <w:noProof/>
            <w:webHidden/>
          </w:rPr>
          <w:t>9</w:t>
        </w:r>
        <w:r w:rsidR="004169BF">
          <w:rPr>
            <w:noProof/>
            <w:webHidden/>
          </w:rPr>
          <w:fldChar w:fldCharType="end"/>
        </w:r>
      </w:hyperlink>
    </w:p>
    <w:p w14:paraId="529BDE62" w14:textId="30FB7810"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4" w:history="1">
        <w:r w:rsidR="004169BF" w:rsidRPr="004535DB">
          <w:rPr>
            <w:rStyle w:val="Hyperlink"/>
            <w:noProof/>
          </w:rPr>
          <w:t>2.1.4.1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 description</w:t>
        </w:r>
        <w:r w:rsidR="004169BF">
          <w:rPr>
            <w:noProof/>
            <w:webHidden/>
          </w:rPr>
          <w:tab/>
        </w:r>
        <w:r w:rsidR="004169BF">
          <w:rPr>
            <w:noProof/>
            <w:webHidden/>
          </w:rPr>
          <w:fldChar w:fldCharType="begin"/>
        </w:r>
        <w:r w:rsidR="004169BF">
          <w:rPr>
            <w:noProof/>
            <w:webHidden/>
          </w:rPr>
          <w:instrText xml:space="preserve"> PAGEREF _Toc531868634 \h </w:instrText>
        </w:r>
        <w:r w:rsidR="004169BF">
          <w:rPr>
            <w:noProof/>
            <w:webHidden/>
          </w:rPr>
        </w:r>
        <w:r w:rsidR="004169BF">
          <w:rPr>
            <w:noProof/>
            <w:webHidden/>
          </w:rPr>
          <w:fldChar w:fldCharType="separate"/>
        </w:r>
        <w:r w:rsidR="00F03775">
          <w:rPr>
            <w:noProof/>
            <w:webHidden/>
          </w:rPr>
          <w:t>9</w:t>
        </w:r>
        <w:r w:rsidR="004169BF">
          <w:rPr>
            <w:noProof/>
            <w:webHidden/>
          </w:rPr>
          <w:fldChar w:fldCharType="end"/>
        </w:r>
      </w:hyperlink>
    </w:p>
    <w:p w14:paraId="40AF4120" w14:textId="3132BCA6"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5" w:history="1">
        <w:r w:rsidR="004169BF" w:rsidRPr="004535DB">
          <w:rPr>
            <w:rStyle w:val="Hyperlink"/>
            <w:noProof/>
          </w:rPr>
          <w:t>2.1.4.2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Use-specific instructions for use</w:t>
        </w:r>
        <w:r w:rsidR="004169BF">
          <w:rPr>
            <w:noProof/>
            <w:webHidden/>
          </w:rPr>
          <w:tab/>
        </w:r>
        <w:r w:rsidR="004169BF">
          <w:rPr>
            <w:noProof/>
            <w:webHidden/>
          </w:rPr>
          <w:fldChar w:fldCharType="begin"/>
        </w:r>
        <w:r w:rsidR="004169BF">
          <w:rPr>
            <w:noProof/>
            <w:webHidden/>
          </w:rPr>
          <w:instrText xml:space="preserve"> PAGEREF _Toc531868635 \h </w:instrText>
        </w:r>
        <w:r w:rsidR="004169BF">
          <w:rPr>
            <w:noProof/>
            <w:webHidden/>
          </w:rPr>
        </w:r>
        <w:r w:rsidR="004169BF">
          <w:rPr>
            <w:noProof/>
            <w:webHidden/>
          </w:rPr>
          <w:fldChar w:fldCharType="separate"/>
        </w:r>
        <w:r w:rsidR="00F03775">
          <w:rPr>
            <w:noProof/>
            <w:webHidden/>
          </w:rPr>
          <w:t>10</w:t>
        </w:r>
        <w:r w:rsidR="004169BF">
          <w:rPr>
            <w:noProof/>
            <w:webHidden/>
          </w:rPr>
          <w:fldChar w:fldCharType="end"/>
        </w:r>
      </w:hyperlink>
    </w:p>
    <w:p w14:paraId="1E623534" w14:textId="54423926"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6" w:history="1">
        <w:r w:rsidR="004169BF" w:rsidRPr="004535DB">
          <w:rPr>
            <w:rStyle w:val="Hyperlink"/>
            <w:noProof/>
          </w:rPr>
          <w:t>2.1.4.3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Use-specific risk mitigation measures</w:t>
        </w:r>
        <w:r w:rsidR="004169BF">
          <w:rPr>
            <w:noProof/>
            <w:webHidden/>
          </w:rPr>
          <w:tab/>
        </w:r>
        <w:r w:rsidR="004169BF">
          <w:rPr>
            <w:noProof/>
            <w:webHidden/>
          </w:rPr>
          <w:fldChar w:fldCharType="begin"/>
        </w:r>
        <w:r w:rsidR="004169BF">
          <w:rPr>
            <w:noProof/>
            <w:webHidden/>
          </w:rPr>
          <w:instrText xml:space="preserve"> PAGEREF _Toc531868636 \h </w:instrText>
        </w:r>
        <w:r w:rsidR="004169BF">
          <w:rPr>
            <w:noProof/>
            <w:webHidden/>
          </w:rPr>
        </w:r>
        <w:r w:rsidR="004169BF">
          <w:rPr>
            <w:noProof/>
            <w:webHidden/>
          </w:rPr>
          <w:fldChar w:fldCharType="separate"/>
        </w:r>
        <w:r w:rsidR="00F03775">
          <w:rPr>
            <w:noProof/>
            <w:webHidden/>
          </w:rPr>
          <w:t>10</w:t>
        </w:r>
        <w:r w:rsidR="004169BF">
          <w:rPr>
            <w:noProof/>
            <w:webHidden/>
          </w:rPr>
          <w:fldChar w:fldCharType="end"/>
        </w:r>
      </w:hyperlink>
    </w:p>
    <w:p w14:paraId="389FD7CB" w14:textId="0A3FFFFB"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7" w:history="1">
        <w:r w:rsidR="004169BF" w:rsidRPr="004535DB">
          <w:rPr>
            <w:rStyle w:val="Hyperlink"/>
            <w:noProof/>
          </w:rPr>
          <w:t>2.1.4.4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particulars of likely direct or indirect effects, first aid instructions and emergency measures to protect the environment</w:t>
        </w:r>
        <w:r w:rsidR="004169BF">
          <w:rPr>
            <w:noProof/>
            <w:webHidden/>
          </w:rPr>
          <w:tab/>
        </w:r>
        <w:r w:rsidR="004169BF">
          <w:rPr>
            <w:noProof/>
            <w:webHidden/>
          </w:rPr>
          <w:fldChar w:fldCharType="begin"/>
        </w:r>
        <w:r w:rsidR="004169BF">
          <w:rPr>
            <w:noProof/>
            <w:webHidden/>
          </w:rPr>
          <w:instrText xml:space="preserve"> PAGEREF _Toc531868637 \h </w:instrText>
        </w:r>
        <w:r w:rsidR="004169BF">
          <w:rPr>
            <w:noProof/>
            <w:webHidden/>
          </w:rPr>
        </w:r>
        <w:r w:rsidR="004169BF">
          <w:rPr>
            <w:noProof/>
            <w:webHidden/>
          </w:rPr>
          <w:fldChar w:fldCharType="separate"/>
        </w:r>
        <w:r w:rsidR="00F03775">
          <w:rPr>
            <w:noProof/>
            <w:webHidden/>
          </w:rPr>
          <w:t>10</w:t>
        </w:r>
        <w:r w:rsidR="004169BF">
          <w:rPr>
            <w:noProof/>
            <w:webHidden/>
          </w:rPr>
          <w:fldChar w:fldCharType="end"/>
        </w:r>
      </w:hyperlink>
    </w:p>
    <w:p w14:paraId="672660A8" w14:textId="4A241F40"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8" w:history="1">
        <w:r w:rsidR="004169BF" w:rsidRPr="004535DB">
          <w:rPr>
            <w:rStyle w:val="Hyperlink"/>
            <w:noProof/>
          </w:rPr>
          <w:t>2.1.4.5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instructions for safe disposal of the product and its packaging</w:t>
        </w:r>
        <w:r w:rsidR="004169BF">
          <w:rPr>
            <w:noProof/>
            <w:webHidden/>
          </w:rPr>
          <w:tab/>
        </w:r>
        <w:r w:rsidR="004169BF">
          <w:rPr>
            <w:noProof/>
            <w:webHidden/>
          </w:rPr>
          <w:fldChar w:fldCharType="begin"/>
        </w:r>
        <w:r w:rsidR="004169BF">
          <w:rPr>
            <w:noProof/>
            <w:webHidden/>
          </w:rPr>
          <w:instrText xml:space="preserve"> PAGEREF _Toc531868638 \h </w:instrText>
        </w:r>
        <w:r w:rsidR="004169BF">
          <w:rPr>
            <w:noProof/>
            <w:webHidden/>
          </w:rPr>
        </w:r>
        <w:r w:rsidR="004169BF">
          <w:rPr>
            <w:noProof/>
            <w:webHidden/>
          </w:rPr>
          <w:fldChar w:fldCharType="separate"/>
        </w:r>
        <w:r w:rsidR="00F03775">
          <w:rPr>
            <w:noProof/>
            <w:webHidden/>
          </w:rPr>
          <w:t>10</w:t>
        </w:r>
        <w:r w:rsidR="004169BF">
          <w:rPr>
            <w:noProof/>
            <w:webHidden/>
          </w:rPr>
          <w:fldChar w:fldCharType="end"/>
        </w:r>
      </w:hyperlink>
    </w:p>
    <w:p w14:paraId="46570C09" w14:textId="01DCF480"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9" w:history="1">
        <w:r w:rsidR="004169BF" w:rsidRPr="004535DB">
          <w:rPr>
            <w:rStyle w:val="Hyperlink"/>
            <w:noProof/>
          </w:rPr>
          <w:t>2.1.4.6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conditions of storage and shelf-life of the product under normal conditions of storage</w:t>
        </w:r>
        <w:r w:rsidR="004169BF">
          <w:rPr>
            <w:noProof/>
            <w:webHidden/>
          </w:rPr>
          <w:tab/>
        </w:r>
        <w:r w:rsidR="004169BF">
          <w:rPr>
            <w:noProof/>
            <w:webHidden/>
          </w:rPr>
          <w:fldChar w:fldCharType="begin"/>
        </w:r>
        <w:r w:rsidR="004169BF">
          <w:rPr>
            <w:noProof/>
            <w:webHidden/>
          </w:rPr>
          <w:instrText xml:space="preserve"> PAGEREF _Toc531868639 \h </w:instrText>
        </w:r>
        <w:r w:rsidR="004169BF">
          <w:rPr>
            <w:noProof/>
            <w:webHidden/>
          </w:rPr>
        </w:r>
        <w:r w:rsidR="004169BF">
          <w:rPr>
            <w:noProof/>
            <w:webHidden/>
          </w:rPr>
          <w:fldChar w:fldCharType="separate"/>
        </w:r>
        <w:r w:rsidR="00F03775">
          <w:rPr>
            <w:noProof/>
            <w:webHidden/>
          </w:rPr>
          <w:t>11</w:t>
        </w:r>
        <w:r w:rsidR="004169BF">
          <w:rPr>
            <w:noProof/>
            <w:webHidden/>
          </w:rPr>
          <w:fldChar w:fldCharType="end"/>
        </w:r>
      </w:hyperlink>
    </w:p>
    <w:p w14:paraId="14758A8A" w14:textId="39E98A13"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0" w:history="1">
        <w:r w:rsidR="004169BF" w:rsidRPr="004535DB">
          <w:rPr>
            <w:rStyle w:val="Hyperlink"/>
            <w:noProof/>
          </w:rPr>
          <w:t>2.1.5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General directions for use</w:t>
        </w:r>
        <w:r w:rsidR="004169BF">
          <w:rPr>
            <w:noProof/>
            <w:webHidden/>
          </w:rPr>
          <w:tab/>
        </w:r>
        <w:r w:rsidR="004169BF">
          <w:rPr>
            <w:noProof/>
            <w:webHidden/>
          </w:rPr>
          <w:fldChar w:fldCharType="begin"/>
        </w:r>
        <w:r w:rsidR="004169BF">
          <w:rPr>
            <w:noProof/>
            <w:webHidden/>
          </w:rPr>
          <w:instrText xml:space="preserve"> PAGEREF _Toc531868640 \h </w:instrText>
        </w:r>
        <w:r w:rsidR="004169BF">
          <w:rPr>
            <w:noProof/>
            <w:webHidden/>
          </w:rPr>
        </w:r>
        <w:r w:rsidR="004169BF">
          <w:rPr>
            <w:noProof/>
            <w:webHidden/>
          </w:rPr>
          <w:fldChar w:fldCharType="separate"/>
        </w:r>
        <w:r w:rsidR="00F03775">
          <w:rPr>
            <w:noProof/>
            <w:webHidden/>
          </w:rPr>
          <w:t>11</w:t>
        </w:r>
        <w:r w:rsidR="004169BF">
          <w:rPr>
            <w:noProof/>
            <w:webHidden/>
          </w:rPr>
          <w:fldChar w:fldCharType="end"/>
        </w:r>
      </w:hyperlink>
    </w:p>
    <w:p w14:paraId="7C509EBB" w14:textId="371660C4"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1" w:history="1">
        <w:r w:rsidR="004169BF" w:rsidRPr="004535DB">
          <w:rPr>
            <w:rStyle w:val="Hyperlink"/>
            <w:noProof/>
          </w:rPr>
          <w:t>2.1.5.1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Instructions for use</w:t>
        </w:r>
        <w:r w:rsidR="004169BF">
          <w:rPr>
            <w:noProof/>
            <w:webHidden/>
          </w:rPr>
          <w:tab/>
        </w:r>
        <w:r w:rsidR="004169BF">
          <w:rPr>
            <w:noProof/>
            <w:webHidden/>
          </w:rPr>
          <w:fldChar w:fldCharType="begin"/>
        </w:r>
        <w:r w:rsidR="004169BF">
          <w:rPr>
            <w:noProof/>
            <w:webHidden/>
          </w:rPr>
          <w:instrText xml:space="preserve"> PAGEREF _Toc531868641 \h </w:instrText>
        </w:r>
        <w:r w:rsidR="004169BF">
          <w:rPr>
            <w:noProof/>
            <w:webHidden/>
          </w:rPr>
        </w:r>
        <w:r w:rsidR="004169BF">
          <w:rPr>
            <w:noProof/>
            <w:webHidden/>
          </w:rPr>
          <w:fldChar w:fldCharType="separate"/>
        </w:r>
        <w:r w:rsidR="00F03775">
          <w:rPr>
            <w:noProof/>
            <w:webHidden/>
          </w:rPr>
          <w:t>11</w:t>
        </w:r>
        <w:r w:rsidR="004169BF">
          <w:rPr>
            <w:noProof/>
            <w:webHidden/>
          </w:rPr>
          <w:fldChar w:fldCharType="end"/>
        </w:r>
      </w:hyperlink>
    </w:p>
    <w:p w14:paraId="3BE65A87" w14:textId="5CF3601F"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2" w:history="1">
        <w:r w:rsidR="004169BF" w:rsidRPr="004535DB">
          <w:rPr>
            <w:rStyle w:val="Hyperlink"/>
            <w:noProof/>
          </w:rPr>
          <w:t>2.1.5.2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mitigation measures</w:t>
        </w:r>
        <w:r w:rsidR="004169BF">
          <w:rPr>
            <w:noProof/>
            <w:webHidden/>
          </w:rPr>
          <w:tab/>
        </w:r>
        <w:r w:rsidR="004169BF">
          <w:rPr>
            <w:noProof/>
            <w:webHidden/>
          </w:rPr>
          <w:fldChar w:fldCharType="begin"/>
        </w:r>
        <w:r w:rsidR="004169BF">
          <w:rPr>
            <w:noProof/>
            <w:webHidden/>
          </w:rPr>
          <w:instrText xml:space="preserve"> PAGEREF _Toc531868642 \h </w:instrText>
        </w:r>
        <w:r w:rsidR="004169BF">
          <w:rPr>
            <w:noProof/>
            <w:webHidden/>
          </w:rPr>
        </w:r>
        <w:r w:rsidR="004169BF">
          <w:rPr>
            <w:noProof/>
            <w:webHidden/>
          </w:rPr>
          <w:fldChar w:fldCharType="separate"/>
        </w:r>
        <w:r w:rsidR="00F03775">
          <w:rPr>
            <w:noProof/>
            <w:webHidden/>
          </w:rPr>
          <w:t>11</w:t>
        </w:r>
        <w:r w:rsidR="004169BF">
          <w:rPr>
            <w:noProof/>
            <w:webHidden/>
          </w:rPr>
          <w:fldChar w:fldCharType="end"/>
        </w:r>
      </w:hyperlink>
    </w:p>
    <w:p w14:paraId="0F2BCAC8" w14:textId="380A51E3"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3" w:history="1">
        <w:r w:rsidR="004169BF" w:rsidRPr="004535DB">
          <w:rPr>
            <w:rStyle w:val="Hyperlink"/>
            <w:noProof/>
          </w:rPr>
          <w:t>2.1.5.3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Particulars of likely direct or indirect effects, first aid instructions and emergency measures to protect the environment</w:t>
        </w:r>
        <w:r w:rsidR="004169BF">
          <w:rPr>
            <w:noProof/>
            <w:webHidden/>
          </w:rPr>
          <w:tab/>
        </w:r>
        <w:r w:rsidR="004169BF">
          <w:rPr>
            <w:noProof/>
            <w:webHidden/>
          </w:rPr>
          <w:fldChar w:fldCharType="begin"/>
        </w:r>
        <w:r w:rsidR="004169BF">
          <w:rPr>
            <w:noProof/>
            <w:webHidden/>
          </w:rPr>
          <w:instrText xml:space="preserve"> PAGEREF _Toc531868643 \h </w:instrText>
        </w:r>
        <w:r w:rsidR="004169BF">
          <w:rPr>
            <w:noProof/>
            <w:webHidden/>
          </w:rPr>
        </w:r>
        <w:r w:rsidR="004169BF">
          <w:rPr>
            <w:noProof/>
            <w:webHidden/>
          </w:rPr>
          <w:fldChar w:fldCharType="separate"/>
        </w:r>
        <w:r w:rsidR="00F03775">
          <w:rPr>
            <w:noProof/>
            <w:webHidden/>
          </w:rPr>
          <w:t>11</w:t>
        </w:r>
        <w:r w:rsidR="004169BF">
          <w:rPr>
            <w:noProof/>
            <w:webHidden/>
          </w:rPr>
          <w:fldChar w:fldCharType="end"/>
        </w:r>
      </w:hyperlink>
    </w:p>
    <w:p w14:paraId="1E0F170D" w14:textId="4424938B"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4" w:history="1">
        <w:r w:rsidR="004169BF" w:rsidRPr="004535DB">
          <w:rPr>
            <w:rStyle w:val="Hyperlink"/>
            <w:noProof/>
          </w:rPr>
          <w:t>2.1.5.4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Instructions for safe disposal of the product and its packaging</w:t>
        </w:r>
        <w:r w:rsidR="004169BF">
          <w:rPr>
            <w:noProof/>
            <w:webHidden/>
          </w:rPr>
          <w:tab/>
        </w:r>
        <w:r w:rsidR="004169BF">
          <w:rPr>
            <w:noProof/>
            <w:webHidden/>
          </w:rPr>
          <w:fldChar w:fldCharType="begin"/>
        </w:r>
        <w:r w:rsidR="004169BF">
          <w:rPr>
            <w:noProof/>
            <w:webHidden/>
          </w:rPr>
          <w:instrText xml:space="preserve"> PAGEREF _Toc531868644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43F410A2" w14:textId="1324B1DC"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5" w:history="1">
        <w:r w:rsidR="004169BF" w:rsidRPr="004535DB">
          <w:rPr>
            <w:rStyle w:val="Hyperlink"/>
            <w:noProof/>
          </w:rPr>
          <w:t>2.1.5.5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Conditions of storage and shelf-life of the product under normal conditions of storage</w:t>
        </w:r>
        <w:r w:rsidR="004169BF">
          <w:rPr>
            <w:noProof/>
            <w:webHidden/>
          </w:rPr>
          <w:tab/>
        </w:r>
        <w:r w:rsidR="004169BF">
          <w:rPr>
            <w:noProof/>
            <w:webHidden/>
          </w:rPr>
          <w:fldChar w:fldCharType="begin"/>
        </w:r>
        <w:r w:rsidR="004169BF">
          <w:rPr>
            <w:noProof/>
            <w:webHidden/>
          </w:rPr>
          <w:instrText xml:space="preserve"> PAGEREF _Toc531868645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052EF890" w14:textId="595C9E44"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6" w:history="1">
        <w:r w:rsidR="004169BF" w:rsidRPr="004535DB">
          <w:rPr>
            <w:rStyle w:val="Hyperlink"/>
            <w:noProof/>
          </w:rPr>
          <w:t>2.1.6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Other information</w:t>
        </w:r>
        <w:r w:rsidR="004169BF">
          <w:rPr>
            <w:noProof/>
            <w:webHidden/>
          </w:rPr>
          <w:tab/>
        </w:r>
        <w:r w:rsidR="004169BF">
          <w:rPr>
            <w:noProof/>
            <w:webHidden/>
          </w:rPr>
          <w:fldChar w:fldCharType="begin"/>
        </w:r>
        <w:r w:rsidR="004169BF">
          <w:rPr>
            <w:noProof/>
            <w:webHidden/>
          </w:rPr>
          <w:instrText xml:space="preserve"> PAGEREF _Toc531868646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76025A64" w14:textId="2241EAC3"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7" w:history="1">
        <w:r w:rsidR="004169BF" w:rsidRPr="004535DB">
          <w:rPr>
            <w:rStyle w:val="Hyperlink"/>
            <w:noProof/>
          </w:rPr>
          <w:t>2.1.7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Packaging of the biocidal product</w:t>
        </w:r>
        <w:r w:rsidR="004169BF">
          <w:rPr>
            <w:noProof/>
            <w:webHidden/>
          </w:rPr>
          <w:tab/>
        </w:r>
        <w:r w:rsidR="004169BF">
          <w:rPr>
            <w:noProof/>
            <w:webHidden/>
          </w:rPr>
          <w:fldChar w:fldCharType="begin"/>
        </w:r>
        <w:r w:rsidR="004169BF">
          <w:rPr>
            <w:noProof/>
            <w:webHidden/>
          </w:rPr>
          <w:instrText xml:space="preserve"> PAGEREF _Toc531868647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5352A35E" w14:textId="5CF00B2F"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8" w:history="1">
        <w:r w:rsidR="004169BF" w:rsidRPr="004535DB">
          <w:rPr>
            <w:rStyle w:val="Hyperlink"/>
            <w:noProof/>
          </w:rPr>
          <w:t>2.1.8</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Documentation</w:t>
        </w:r>
        <w:r w:rsidR="004169BF">
          <w:rPr>
            <w:noProof/>
            <w:webHidden/>
          </w:rPr>
          <w:tab/>
        </w:r>
        <w:r w:rsidR="004169BF">
          <w:rPr>
            <w:noProof/>
            <w:webHidden/>
          </w:rPr>
          <w:fldChar w:fldCharType="begin"/>
        </w:r>
        <w:r w:rsidR="004169BF">
          <w:rPr>
            <w:noProof/>
            <w:webHidden/>
          </w:rPr>
          <w:instrText xml:space="preserve"> PAGEREF _Toc531868648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24521C80" w14:textId="4BFB7714"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9" w:history="1">
        <w:r w:rsidR="004169BF" w:rsidRPr="004535DB">
          <w:rPr>
            <w:rStyle w:val="Hyperlink"/>
            <w:noProof/>
          </w:rPr>
          <w:t>2.1.8.1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Data submitted in relation to product application</w:t>
        </w:r>
        <w:r w:rsidR="004169BF">
          <w:rPr>
            <w:noProof/>
            <w:webHidden/>
          </w:rPr>
          <w:tab/>
        </w:r>
        <w:r w:rsidR="004169BF">
          <w:rPr>
            <w:noProof/>
            <w:webHidden/>
          </w:rPr>
          <w:fldChar w:fldCharType="begin"/>
        </w:r>
        <w:r w:rsidR="004169BF">
          <w:rPr>
            <w:noProof/>
            <w:webHidden/>
          </w:rPr>
          <w:instrText xml:space="preserve"> PAGEREF _Toc531868649 \h </w:instrText>
        </w:r>
        <w:r w:rsidR="004169BF">
          <w:rPr>
            <w:noProof/>
            <w:webHidden/>
          </w:rPr>
        </w:r>
        <w:r w:rsidR="004169BF">
          <w:rPr>
            <w:noProof/>
            <w:webHidden/>
          </w:rPr>
          <w:fldChar w:fldCharType="separate"/>
        </w:r>
        <w:r w:rsidR="00F03775">
          <w:rPr>
            <w:noProof/>
            <w:webHidden/>
          </w:rPr>
          <w:t>12</w:t>
        </w:r>
        <w:r w:rsidR="004169BF">
          <w:rPr>
            <w:noProof/>
            <w:webHidden/>
          </w:rPr>
          <w:fldChar w:fldCharType="end"/>
        </w:r>
      </w:hyperlink>
    </w:p>
    <w:p w14:paraId="7D1C1BAF" w14:textId="2199A35E"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0" w:history="1">
        <w:r w:rsidR="004169BF" w:rsidRPr="004535DB">
          <w:rPr>
            <w:rStyle w:val="Hyperlink"/>
            <w:noProof/>
          </w:rPr>
          <w:t>2.1.8.2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Access to documentation</w:t>
        </w:r>
        <w:r w:rsidR="004169BF">
          <w:rPr>
            <w:noProof/>
            <w:webHidden/>
          </w:rPr>
          <w:tab/>
        </w:r>
        <w:r w:rsidR="004169BF">
          <w:rPr>
            <w:noProof/>
            <w:webHidden/>
          </w:rPr>
          <w:fldChar w:fldCharType="begin"/>
        </w:r>
        <w:r w:rsidR="004169BF">
          <w:rPr>
            <w:noProof/>
            <w:webHidden/>
          </w:rPr>
          <w:instrText xml:space="preserve"> PAGEREF _Toc531868650 \h </w:instrText>
        </w:r>
        <w:r w:rsidR="004169BF">
          <w:rPr>
            <w:noProof/>
            <w:webHidden/>
          </w:rPr>
        </w:r>
        <w:r w:rsidR="004169BF">
          <w:rPr>
            <w:noProof/>
            <w:webHidden/>
          </w:rPr>
          <w:fldChar w:fldCharType="separate"/>
        </w:r>
        <w:r w:rsidR="00F03775">
          <w:rPr>
            <w:noProof/>
            <w:webHidden/>
          </w:rPr>
          <w:t>13</w:t>
        </w:r>
        <w:r w:rsidR="004169BF">
          <w:rPr>
            <w:noProof/>
            <w:webHidden/>
          </w:rPr>
          <w:fldChar w:fldCharType="end"/>
        </w:r>
      </w:hyperlink>
    </w:p>
    <w:p w14:paraId="3A5F09D4" w14:textId="658B74F0"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51" w:history="1">
        <w:r w:rsidR="004169BF" w:rsidRPr="004535DB">
          <w:rPr>
            <w:rStyle w:val="Hyperlink"/>
            <w:noProof/>
          </w:rPr>
          <w:t>2.2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Assessment of the biocidal product</w:t>
        </w:r>
        <w:r w:rsidR="004169BF">
          <w:rPr>
            <w:noProof/>
            <w:webHidden/>
          </w:rPr>
          <w:tab/>
        </w:r>
        <w:r w:rsidR="004169BF">
          <w:rPr>
            <w:noProof/>
            <w:webHidden/>
          </w:rPr>
          <w:fldChar w:fldCharType="begin"/>
        </w:r>
        <w:r w:rsidR="004169BF">
          <w:rPr>
            <w:noProof/>
            <w:webHidden/>
          </w:rPr>
          <w:instrText xml:space="preserve"> PAGEREF _Toc531868651 \h </w:instrText>
        </w:r>
        <w:r w:rsidR="004169BF">
          <w:rPr>
            <w:noProof/>
            <w:webHidden/>
          </w:rPr>
        </w:r>
        <w:r w:rsidR="004169BF">
          <w:rPr>
            <w:noProof/>
            <w:webHidden/>
          </w:rPr>
          <w:fldChar w:fldCharType="separate"/>
        </w:r>
        <w:r w:rsidR="00F03775">
          <w:rPr>
            <w:noProof/>
            <w:webHidden/>
          </w:rPr>
          <w:t>14</w:t>
        </w:r>
        <w:r w:rsidR="004169BF">
          <w:rPr>
            <w:noProof/>
            <w:webHidden/>
          </w:rPr>
          <w:fldChar w:fldCharType="end"/>
        </w:r>
      </w:hyperlink>
    </w:p>
    <w:p w14:paraId="6B08CA3A" w14:textId="28F37188"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2" w:history="1">
        <w:r w:rsidR="004169BF" w:rsidRPr="004535DB">
          <w:rPr>
            <w:rStyle w:val="Hyperlink"/>
            <w:noProof/>
          </w:rPr>
          <w:t>2.2.1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Intended use(s) as applied for by the applicant</w:t>
        </w:r>
        <w:r w:rsidR="004169BF">
          <w:rPr>
            <w:noProof/>
            <w:webHidden/>
          </w:rPr>
          <w:tab/>
        </w:r>
        <w:r w:rsidR="004169BF">
          <w:rPr>
            <w:noProof/>
            <w:webHidden/>
          </w:rPr>
          <w:fldChar w:fldCharType="begin"/>
        </w:r>
        <w:r w:rsidR="004169BF">
          <w:rPr>
            <w:noProof/>
            <w:webHidden/>
          </w:rPr>
          <w:instrText xml:space="preserve"> PAGEREF _Toc531868652 \h </w:instrText>
        </w:r>
        <w:r w:rsidR="004169BF">
          <w:rPr>
            <w:noProof/>
            <w:webHidden/>
          </w:rPr>
        </w:r>
        <w:r w:rsidR="004169BF">
          <w:rPr>
            <w:noProof/>
            <w:webHidden/>
          </w:rPr>
          <w:fldChar w:fldCharType="separate"/>
        </w:r>
        <w:r w:rsidR="00F03775">
          <w:rPr>
            <w:noProof/>
            <w:webHidden/>
          </w:rPr>
          <w:t>14</w:t>
        </w:r>
        <w:r w:rsidR="004169BF">
          <w:rPr>
            <w:noProof/>
            <w:webHidden/>
          </w:rPr>
          <w:fldChar w:fldCharType="end"/>
        </w:r>
      </w:hyperlink>
    </w:p>
    <w:p w14:paraId="4B430676" w14:textId="17FB4BC4"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3" w:history="1">
        <w:r w:rsidR="004169BF" w:rsidRPr="004535DB">
          <w:rPr>
            <w:rStyle w:val="Hyperlink"/>
            <w:noProof/>
          </w:rPr>
          <w:t>2.2.2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Physical, chemical and technical properties</w:t>
        </w:r>
        <w:r w:rsidR="004169BF">
          <w:rPr>
            <w:noProof/>
            <w:webHidden/>
          </w:rPr>
          <w:tab/>
        </w:r>
        <w:r w:rsidR="004169BF">
          <w:rPr>
            <w:noProof/>
            <w:webHidden/>
          </w:rPr>
          <w:fldChar w:fldCharType="begin"/>
        </w:r>
        <w:r w:rsidR="004169BF">
          <w:rPr>
            <w:noProof/>
            <w:webHidden/>
          </w:rPr>
          <w:instrText xml:space="preserve"> PAGEREF _Toc531868653 \h </w:instrText>
        </w:r>
        <w:r w:rsidR="004169BF">
          <w:rPr>
            <w:noProof/>
            <w:webHidden/>
          </w:rPr>
        </w:r>
        <w:r w:rsidR="004169BF">
          <w:rPr>
            <w:noProof/>
            <w:webHidden/>
          </w:rPr>
          <w:fldChar w:fldCharType="separate"/>
        </w:r>
        <w:r w:rsidR="00F03775">
          <w:rPr>
            <w:noProof/>
            <w:webHidden/>
          </w:rPr>
          <w:t>14</w:t>
        </w:r>
        <w:r w:rsidR="004169BF">
          <w:rPr>
            <w:noProof/>
            <w:webHidden/>
          </w:rPr>
          <w:fldChar w:fldCharType="end"/>
        </w:r>
      </w:hyperlink>
    </w:p>
    <w:p w14:paraId="655BAC37" w14:textId="6C0CB3A1"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4" w:history="1">
        <w:r w:rsidR="004169BF" w:rsidRPr="004535DB">
          <w:rPr>
            <w:rStyle w:val="Hyperlink"/>
            <w:noProof/>
          </w:rPr>
          <w:t>2.2.3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Physical hazards and respective characteristics</w:t>
        </w:r>
        <w:r w:rsidR="004169BF">
          <w:rPr>
            <w:noProof/>
            <w:webHidden/>
          </w:rPr>
          <w:tab/>
        </w:r>
        <w:r w:rsidR="004169BF">
          <w:rPr>
            <w:noProof/>
            <w:webHidden/>
          </w:rPr>
          <w:fldChar w:fldCharType="begin"/>
        </w:r>
        <w:r w:rsidR="004169BF">
          <w:rPr>
            <w:noProof/>
            <w:webHidden/>
          </w:rPr>
          <w:instrText xml:space="preserve"> PAGEREF _Toc531868654 \h </w:instrText>
        </w:r>
        <w:r w:rsidR="004169BF">
          <w:rPr>
            <w:noProof/>
            <w:webHidden/>
          </w:rPr>
        </w:r>
        <w:r w:rsidR="004169BF">
          <w:rPr>
            <w:noProof/>
            <w:webHidden/>
          </w:rPr>
          <w:fldChar w:fldCharType="separate"/>
        </w:r>
        <w:r w:rsidR="00F03775">
          <w:rPr>
            <w:noProof/>
            <w:webHidden/>
          </w:rPr>
          <w:t>24</w:t>
        </w:r>
        <w:r w:rsidR="004169BF">
          <w:rPr>
            <w:noProof/>
            <w:webHidden/>
          </w:rPr>
          <w:fldChar w:fldCharType="end"/>
        </w:r>
      </w:hyperlink>
    </w:p>
    <w:p w14:paraId="08EAA189" w14:textId="7A01F25B"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5" w:history="1">
        <w:r w:rsidR="004169BF" w:rsidRPr="004535DB">
          <w:rPr>
            <w:rStyle w:val="Hyperlink"/>
            <w:noProof/>
          </w:rPr>
          <w:t>2.2.4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Methods for detection and identification</w:t>
        </w:r>
        <w:r w:rsidR="004169BF">
          <w:rPr>
            <w:noProof/>
            <w:webHidden/>
          </w:rPr>
          <w:tab/>
        </w:r>
        <w:r w:rsidR="004169BF">
          <w:rPr>
            <w:noProof/>
            <w:webHidden/>
          </w:rPr>
          <w:fldChar w:fldCharType="begin"/>
        </w:r>
        <w:r w:rsidR="004169BF">
          <w:rPr>
            <w:noProof/>
            <w:webHidden/>
          </w:rPr>
          <w:instrText xml:space="preserve"> PAGEREF _Toc531868655 \h </w:instrText>
        </w:r>
        <w:r w:rsidR="004169BF">
          <w:rPr>
            <w:noProof/>
            <w:webHidden/>
          </w:rPr>
        </w:r>
        <w:r w:rsidR="004169BF">
          <w:rPr>
            <w:noProof/>
            <w:webHidden/>
          </w:rPr>
          <w:fldChar w:fldCharType="separate"/>
        </w:r>
        <w:r w:rsidR="00F03775">
          <w:rPr>
            <w:noProof/>
            <w:webHidden/>
          </w:rPr>
          <w:t>27</w:t>
        </w:r>
        <w:r w:rsidR="004169BF">
          <w:rPr>
            <w:noProof/>
            <w:webHidden/>
          </w:rPr>
          <w:fldChar w:fldCharType="end"/>
        </w:r>
      </w:hyperlink>
    </w:p>
    <w:p w14:paraId="2C43B94C" w14:textId="0492799A"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6" w:history="1">
        <w:r w:rsidR="004169BF" w:rsidRPr="004535DB">
          <w:rPr>
            <w:rStyle w:val="Hyperlink"/>
            <w:noProof/>
          </w:rPr>
          <w:t>2.2.5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Efficacy against target organisms</w:t>
        </w:r>
        <w:r w:rsidR="004169BF">
          <w:rPr>
            <w:noProof/>
            <w:webHidden/>
          </w:rPr>
          <w:tab/>
        </w:r>
        <w:r w:rsidR="004169BF">
          <w:rPr>
            <w:noProof/>
            <w:webHidden/>
          </w:rPr>
          <w:fldChar w:fldCharType="begin"/>
        </w:r>
        <w:r w:rsidR="004169BF">
          <w:rPr>
            <w:noProof/>
            <w:webHidden/>
          </w:rPr>
          <w:instrText xml:space="preserve"> PAGEREF _Toc531868656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3D2858C0" w14:textId="122881E3"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7" w:history="1">
        <w:r w:rsidR="004169BF" w:rsidRPr="004535DB">
          <w:rPr>
            <w:rStyle w:val="Hyperlink"/>
            <w:noProof/>
          </w:rPr>
          <w:t>2.2.5.1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Function and field of use</w:t>
        </w:r>
        <w:r w:rsidR="004169BF">
          <w:rPr>
            <w:noProof/>
            <w:webHidden/>
          </w:rPr>
          <w:tab/>
        </w:r>
        <w:r w:rsidR="004169BF">
          <w:rPr>
            <w:noProof/>
            <w:webHidden/>
          </w:rPr>
          <w:fldChar w:fldCharType="begin"/>
        </w:r>
        <w:r w:rsidR="004169BF">
          <w:rPr>
            <w:noProof/>
            <w:webHidden/>
          </w:rPr>
          <w:instrText xml:space="preserve"> PAGEREF _Toc531868657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4FE183CF" w14:textId="5456438F"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8" w:history="1">
        <w:r w:rsidR="004169BF" w:rsidRPr="004535DB">
          <w:rPr>
            <w:rStyle w:val="Hyperlink"/>
            <w:noProof/>
          </w:rPr>
          <w:t>2.2.5.2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Organisms to be controlled and products, organisms or objects to be protected</w:t>
        </w:r>
        <w:r w:rsidR="004169BF">
          <w:rPr>
            <w:noProof/>
            <w:webHidden/>
          </w:rPr>
          <w:tab/>
        </w:r>
        <w:r w:rsidR="004169BF">
          <w:rPr>
            <w:noProof/>
            <w:webHidden/>
          </w:rPr>
          <w:fldChar w:fldCharType="begin"/>
        </w:r>
        <w:r w:rsidR="004169BF">
          <w:rPr>
            <w:noProof/>
            <w:webHidden/>
          </w:rPr>
          <w:instrText xml:space="preserve"> PAGEREF _Toc531868658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198A6FAC" w14:textId="03BA08CA"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9" w:history="1">
        <w:r w:rsidR="004169BF" w:rsidRPr="004535DB">
          <w:rPr>
            <w:rStyle w:val="Hyperlink"/>
            <w:noProof/>
          </w:rPr>
          <w:t>2.2.5.3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Effects on target organisms, including unacceptable suffering</w:t>
        </w:r>
        <w:r w:rsidR="004169BF">
          <w:rPr>
            <w:noProof/>
            <w:webHidden/>
          </w:rPr>
          <w:tab/>
        </w:r>
        <w:r w:rsidR="004169BF">
          <w:rPr>
            <w:noProof/>
            <w:webHidden/>
          </w:rPr>
          <w:fldChar w:fldCharType="begin"/>
        </w:r>
        <w:r w:rsidR="004169BF">
          <w:rPr>
            <w:noProof/>
            <w:webHidden/>
          </w:rPr>
          <w:instrText xml:space="preserve"> PAGEREF _Toc531868659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6EEADA4B" w14:textId="6F697309"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0" w:history="1">
        <w:r w:rsidR="004169BF" w:rsidRPr="004535DB">
          <w:rPr>
            <w:rStyle w:val="Hyperlink"/>
            <w:noProof/>
          </w:rPr>
          <w:t>2.2.5.4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Mode of action, including time delay</w:t>
        </w:r>
        <w:r w:rsidR="004169BF">
          <w:rPr>
            <w:noProof/>
            <w:webHidden/>
          </w:rPr>
          <w:tab/>
        </w:r>
        <w:r w:rsidR="004169BF">
          <w:rPr>
            <w:noProof/>
            <w:webHidden/>
          </w:rPr>
          <w:fldChar w:fldCharType="begin"/>
        </w:r>
        <w:r w:rsidR="004169BF">
          <w:rPr>
            <w:noProof/>
            <w:webHidden/>
          </w:rPr>
          <w:instrText xml:space="preserve"> PAGEREF _Toc531868660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42C57405" w14:textId="51CD7703"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1" w:history="1">
        <w:r w:rsidR="004169BF" w:rsidRPr="004535DB">
          <w:rPr>
            <w:rStyle w:val="Hyperlink"/>
            <w:noProof/>
          </w:rPr>
          <w:t>2.2.5.5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Efficacy data</w:t>
        </w:r>
        <w:r w:rsidR="004169BF">
          <w:rPr>
            <w:noProof/>
            <w:webHidden/>
          </w:rPr>
          <w:tab/>
        </w:r>
        <w:r w:rsidR="004169BF">
          <w:rPr>
            <w:noProof/>
            <w:webHidden/>
          </w:rPr>
          <w:fldChar w:fldCharType="begin"/>
        </w:r>
        <w:r w:rsidR="004169BF">
          <w:rPr>
            <w:noProof/>
            <w:webHidden/>
          </w:rPr>
          <w:instrText xml:space="preserve"> PAGEREF _Toc531868661 \h </w:instrText>
        </w:r>
        <w:r w:rsidR="004169BF">
          <w:rPr>
            <w:noProof/>
            <w:webHidden/>
          </w:rPr>
        </w:r>
        <w:r w:rsidR="004169BF">
          <w:rPr>
            <w:noProof/>
            <w:webHidden/>
          </w:rPr>
          <w:fldChar w:fldCharType="separate"/>
        </w:r>
        <w:r w:rsidR="00F03775">
          <w:rPr>
            <w:noProof/>
            <w:webHidden/>
          </w:rPr>
          <w:t>30</w:t>
        </w:r>
        <w:r w:rsidR="004169BF">
          <w:rPr>
            <w:noProof/>
            <w:webHidden/>
          </w:rPr>
          <w:fldChar w:fldCharType="end"/>
        </w:r>
      </w:hyperlink>
    </w:p>
    <w:p w14:paraId="2C00B890" w14:textId="65FCDE68"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2" w:history="1">
        <w:r w:rsidR="004169BF" w:rsidRPr="004535DB">
          <w:rPr>
            <w:rStyle w:val="Hyperlink"/>
            <w:noProof/>
          </w:rPr>
          <w:t>2.2.5.6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Occurrence of resistance and resistance management</w:t>
        </w:r>
        <w:r w:rsidR="004169BF">
          <w:rPr>
            <w:noProof/>
            <w:webHidden/>
          </w:rPr>
          <w:tab/>
        </w:r>
        <w:r w:rsidR="004169BF">
          <w:rPr>
            <w:noProof/>
            <w:webHidden/>
          </w:rPr>
          <w:fldChar w:fldCharType="begin"/>
        </w:r>
        <w:r w:rsidR="004169BF">
          <w:rPr>
            <w:noProof/>
            <w:webHidden/>
          </w:rPr>
          <w:instrText xml:space="preserve"> PAGEREF _Toc531868662 \h </w:instrText>
        </w:r>
        <w:r w:rsidR="004169BF">
          <w:rPr>
            <w:noProof/>
            <w:webHidden/>
          </w:rPr>
        </w:r>
        <w:r w:rsidR="004169BF">
          <w:rPr>
            <w:noProof/>
            <w:webHidden/>
          </w:rPr>
          <w:fldChar w:fldCharType="separate"/>
        </w:r>
        <w:r w:rsidR="00F03775">
          <w:rPr>
            <w:noProof/>
            <w:webHidden/>
          </w:rPr>
          <w:t>37</w:t>
        </w:r>
        <w:r w:rsidR="004169BF">
          <w:rPr>
            <w:noProof/>
            <w:webHidden/>
          </w:rPr>
          <w:fldChar w:fldCharType="end"/>
        </w:r>
      </w:hyperlink>
    </w:p>
    <w:p w14:paraId="32B53080" w14:textId="731DA4F6"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3" w:history="1">
        <w:r w:rsidR="004169BF" w:rsidRPr="004535DB">
          <w:rPr>
            <w:rStyle w:val="Hyperlink"/>
            <w:noProof/>
          </w:rPr>
          <w:t>2.2.5.7</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Known limitations</w:t>
        </w:r>
        <w:r w:rsidR="004169BF">
          <w:rPr>
            <w:noProof/>
            <w:webHidden/>
          </w:rPr>
          <w:tab/>
        </w:r>
        <w:r w:rsidR="004169BF">
          <w:rPr>
            <w:noProof/>
            <w:webHidden/>
          </w:rPr>
          <w:fldChar w:fldCharType="begin"/>
        </w:r>
        <w:r w:rsidR="004169BF">
          <w:rPr>
            <w:noProof/>
            <w:webHidden/>
          </w:rPr>
          <w:instrText xml:space="preserve"> PAGEREF _Toc531868663 \h </w:instrText>
        </w:r>
        <w:r w:rsidR="004169BF">
          <w:rPr>
            <w:noProof/>
            <w:webHidden/>
          </w:rPr>
        </w:r>
        <w:r w:rsidR="004169BF">
          <w:rPr>
            <w:noProof/>
            <w:webHidden/>
          </w:rPr>
          <w:fldChar w:fldCharType="separate"/>
        </w:r>
        <w:r w:rsidR="00F03775">
          <w:rPr>
            <w:noProof/>
            <w:webHidden/>
          </w:rPr>
          <w:t>38</w:t>
        </w:r>
        <w:r w:rsidR="004169BF">
          <w:rPr>
            <w:noProof/>
            <w:webHidden/>
          </w:rPr>
          <w:fldChar w:fldCharType="end"/>
        </w:r>
      </w:hyperlink>
    </w:p>
    <w:p w14:paraId="6C125D36" w14:textId="69FECD7E"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4" w:history="1">
        <w:r w:rsidR="004169BF" w:rsidRPr="004535DB">
          <w:rPr>
            <w:rStyle w:val="Hyperlink"/>
            <w:noProof/>
          </w:rPr>
          <w:t>2.2.5.8</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Evaluation of the label claims</w:t>
        </w:r>
        <w:r w:rsidR="004169BF">
          <w:rPr>
            <w:noProof/>
            <w:webHidden/>
          </w:rPr>
          <w:tab/>
        </w:r>
        <w:r w:rsidR="004169BF">
          <w:rPr>
            <w:noProof/>
            <w:webHidden/>
          </w:rPr>
          <w:fldChar w:fldCharType="begin"/>
        </w:r>
        <w:r w:rsidR="004169BF">
          <w:rPr>
            <w:noProof/>
            <w:webHidden/>
          </w:rPr>
          <w:instrText xml:space="preserve"> PAGEREF _Toc531868664 \h </w:instrText>
        </w:r>
        <w:r w:rsidR="004169BF">
          <w:rPr>
            <w:noProof/>
            <w:webHidden/>
          </w:rPr>
        </w:r>
        <w:r w:rsidR="004169BF">
          <w:rPr>
            <w:noProof/>
            <w:webHidden/>
          </w:rPr>
          <w:fldChar w:fldCharType="separate"/>
        </w:r>
        <w:r w:rsidR="00F03775">
          <w:rPr>
            <w:noProof/>
            <w:webHidden/>
          </w:rPr>
          <w:t>38</w:t>
        </w:r>
        <w:r w:rsidR="004169BF">
          <w:rPr>
            <w:noProof/>
            <w:webHidden/>
          </w:rPr>
          <w:fldChar w:fldCharType="end"/>
        </w:r>
      </w:hyperlink>
    </w:p>
    <w:p w14:paraId="178EE219" w14:textId="40E62407"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5" w:history="1">
        <w:r w:rsidR="004169BF" w:rsidRPr="004535DB">
          <w:rPr>
            <w:rStyle w:val="Hyperlink"/>
            <w:noProof/>
          </w:rPr>
          <w:t>2.2.5.9</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Relevant information if the product is intended to be authorised for use with other biocidal product(s)</w:t>
        </w:r>
        <w:r w:rsidR="004169BF">
          <w:rPr>
            <w:noProof/>
            <w:webHidden/>
          </w:rPr>
          <w:tab/>
        </w:r>
        <w:r w:rsidR="004169BF">
          <w:rPr>
            <w:noProof/>
            <w:webHidden/>
          </w:rPr>
          <w:fldChar w:fldCharType="begin"/>
        </w:r>
        <w:r w:rsidR="004169BF">
          <w:rPr>
            <w:noProof/>
            <w:webHidden/>
          </w:rPr>
          <w:instrText xml:space="preserve"> PAGEREF _Toc531868665 \h </w:instrText>
        </w:r>
        <w:r w:rsidR="004169BF">
          <w:rPr>
            <w:noProof/>
            <w:webHidden/>
          </w:rPr>
        </w:r>
        <w:r w:rsidR="004169BF">
          <w:rPr>
            <w:noProof/>
            <w:webHidden/>
          </w:rPr>
          <w:fldChar w:fldCharType="separate"/>
        </w:r>
        <w:r w:rsidR="00F03775">
          <w:rPr>
            <w:noProof/>
            <w:webHidden/>
          </w:rPr>
          <w:t>38</w:t>
        </w:r>
        <w:r w:rsidR="004169BF">
          <w:rPr>
            <w:noProof/>
            <w:webHidden/>
          </w:rPr>
          <w:fldChar w:fldCharType="end"/>
        </w:r>
      </w:hyperlink>
    </w:p>
    <w:p w14:paraId="5F8487C3" w14:textId="44B9E1DB"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66" w:history="1">
        <w:r w:rsidR="004169BF" w:rsidRPr="004535DB">
          <w:rPr>
            <w:rStyle w:val="Hyperlink"/>
            <w:noProof/>
          </w:rPr>
          <w:t>2.2.6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human health</w:t>
        </w:r>
        <w:r w:rsidR="004169BF">
          <w:rPr>
            <w:noProof/>
            <w:webHidden/>
          </w:rPr>
          <w:tab/>
        </w:r>
        <w:r w:rsidR="004169BF">
          <w:rPr>
            <w:noProof/>
            <w:webHidden/>
          </w:rPr>
          <w:fldChar w:fldCharType="begin"/>
        </w:r>
        <w:r w:rsidR="004169BF">
          <w:rPr>
            <w:noProof/>
            <w:webHidden/>
          </w:rPr>
          <w:instrText xml:space="preserve"> PAGEREF _Toc531868666 \h </w:instrText>
        </w:r>
        <w:r w:rsidR="004169BF">
          <w:rPr>
            <w:noProof/>
            <w:webHidden/>
          </w:rPr>
        </w:r>
        <w:r w:rsidR="004169BF">
          <w:rPr>
            <w:noProof/>
            <w:webHidden/>
          </w:rPr>
          <w:fldChar w:fldCharType="separate"/>
        </w:r>
        <w:r w:rsidR="00F03775">
          <w:rPr>
            <w:noProof/>
            <w:webHidden/>
          </w:rPr>
          <w:t>39</w:t>
        </w:r>
        <w:r w:rsidR="004169BF">
          <w:rPr>
            <w:noProof/>
            <w:webHidden/>
          </w:rPr>
          <w:fldChar w:fldCharType="end"/>
        </w:r>
      </w:hyperlink>
    </w:p>
    <w:p w14:paraId="7A5923E5" w14:textId="6911E212"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7" w:history="1">
        <w:r w:rsidR="004169BF" w:rsidRPr="004535DB">
          <w:rPr>
            <w:rStyle w:val="Hyperlink"/>
            <w:noProof/>
          </w:rPr>
          <w:t>2.2.6.1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Assessment of effects on Human Health</w:t>
        </w:r>
        <w:r w:rsidR="004169BF">
          <w:rPr>
            <w:noProof/>
            <w:webHidden/>
          </w:rPr>
          <w:tab/>
        </w:r>
        <w:r w:rsidR="004169BF">
          <w:rPr>
            <w:noProof/>
            <w:webHidden/>
          </w:rPr>
          <w:fldChar w:fldCharType="begin"/>
        </w:r>
        <w:r w:rsidR="004169BF">
          <w:rPr>
            <w:noProof/>
            <w:webHidden/>
          </w:rPr>
          <w:instrText xml:space="preserve"> PAGEREF _Toc531868667 \h </w:instrText>
        </w:r>
        <w:r w:rsidR="004169BF">
          <w:rPr>
            <w:noProof/>
            <w:webHidden/>
          </w:rPr>
        </w:r>
        <w:r w:rsidR="004169BF">
          <w:rPr>
            <w:noProof/>
            <w:webHidden/>
          </w:rPr>
          <w:fldChar w:fldCharType="separate"/>
        </w:r>
        <w:r w:rsidR="00F03775">
          <w:rPr>
            <w:noProof/>
            <w:webHidden/>
          </w:rPr>
          <w:t>39</w:t>
        </w:r>
        <w:r w:rsidR="004169BF">
          <w:rPr>
            <w:noProof/>
            <w:webHidden/>
          </w:rPr>
          <w:fldChar w:fldCharType="end"/>
        </w:r>
      </w:hyperlink>
    </w:p>
    <w:p w14:paraId="48C30326" w14:textId="68F7FAB0" w:rsidR="004169BF" w:rsidRDefault="00980D14">
      <w:pPr>
        <w:pStyle w:val="TOC4"/>
        <w:tabs>
          <w:tab w:val="right" w:leader="dot" w:pos="9203"/>
        </w:tabs>
        <w:rPr>
          <w:rFonts w:asciiTheme="minorHAnsi" w:eastAsiaTheme="minorEastAsia" w:hAnsiTheme="minorHAnsi" w:cstheme="minorBidi"/>
          <w:noProof/>
          <w:sz w:val="22"/>
          <w:szCs w:val="22"/>
          <w:lang w:val="nl-NL" w:eastAsia="nl-NL"/>
        </w:rPr>
      </w:pPr>
      <w:hyperlink w:anchor="_Toc531868668" w:history="1">
        <w:r w:rsidR="004169BF" w:rsidRPr="004535DB">
          <w:rPr>
            <w:rStyle w:val="Hyperlink"/>
            <w:noProof/>
          </w:rPr>
          <w:t>Endocrine Disruptor Assessment</w:t>
        </w:r>
        <w:r w:rsidR="004169BF">
          <w:rPr>
            <w:noProof/>
            <w:webHidden/>
          </w:rPr>
          <w:tab/>
        </w:r>
        <w:r w:rsidR="004169BF">
          <w:rPr>
            <w:noProof/>
            <w:webHidden/>
          </w:rPr>
          <w:fldChar w:fldCharType="begin"/>
        </w:r>
        <w:r w:rsidR="004169BF">
          <w:rPr>
            <w:noProof/>
            <w:webHidden/>
          </w:rPr>
          <w:instrText xml:space="preserve"> PAGEREF _Toc531868668 \h </w:instrText>
        </w:r>
        <w:r w:rsidR="004169BF">
          <w:rPr>
            <w:noProof/>
            <w:webHidden/>
          </w:rPr>
        </w:r>
        <w:r w:rsidR="004169BF">
          <w:rPr>
            <w:noProof/>
            <w:webHidden/>
          </w:rPr>
          <w:fldChar w:fldCharType="separate"/>
        </w:r>
        <w:r w:rsidR="00F03775">
          <w:rPr>
            <w:noProof/>
            <w:webHidden/>
          </w:rPr>
          <w:t>54</w:t>
        </w:r>
        <w:r w:rsidR="004169BF">
          <w:rPr>
            <w:noProof/>
            <w:webHidden/>
          </w:rPr>
          <w:fldChar w:fldCharType="end"/>
        </w:r>
      </w:hyperlink>
    </w:p>
    <w:p w14:paraId="7C5CA57D" w14:textId="5BA7AA3D" w:rsidR="004169BF" w:rsidRDefault="00980D14">
      <w:pPr>
        <w:pStyle w:val="TOC4"/>
        <w:tabs>
          <w:tab w:val="right" w:leader="dot" w:pos="9203"/>
        </w:tabs>
        <w:rPr>
          <w:rFonts w:asciiTheme="minorHAnsi" w:eastAsiaTheme="minorEastAsia" w:hAnsiTheme="minorHAnsi" w:cstheme="minorBidi"/>
          <w:noProof/>
          <w:sz w:val="22"/>
          <w:szCs w:val="22"/>
          <w:lang w:val="nl-NL" w:eastAsia="nl-NL"/>
        </w:rPr>
      </w:pPr>
      <w:hyperlink w:anchor="_Toc531868669" w:history="1">
        <w:r w:rsidR="004169BF" w:rsidRPr="004535DB">
          <w:rPr>
            <w:rStyle w:val="Hyperlink"/>
            <w:noProof/>
          </w:rPr>
          <w:t>Not relevant because Kalaguard® SB contains the active substance sodium benzoate only.</w:t>
        </w:r>
        <w:r w:rsidR="004169BF">
          <w:rPr>
            <w:noProof/>
            <w:webHidden/>
          </w:rPr>
          <w:tab/>
        </w:r>
        <w:r w:rsidR="004169BF">
          <w:rPr>
            <w:noProof/>
            <w:webHidden/>
          </w:rPr>
          <w:fldChar w:fldCharType="begin"/>
        </w:r>
        <w:r w:rsidR="004169BF">
          <w:rPr>
            <w:noProof/>
            <w:webHidden/>
          </w:rPr>
          <w:instrText xml:space="preserve"> PAGEREF _Toc531868669 \h </w:instrText>
        </w:r>
        <w:r w:rsidR="004169BF">
          <w:rPr>
            <w:noProof/>
            <w:webHidden/>
          </w:rPr>
        </w:r>
        <w:r w:rsidR="004169BF">
          <w:rPr>
            <w:noProof/>
            <w:webHidden/>
          </w:rPr>
          <w:fldChar w:fldCharType="separate"/>
        </w:r>
        <w:r w:rsidR="00F03775">
          <w:rPr>
            <w:noProof/>
            <w:webHidden/>
          </w:rPr>
          <w:t>54</w:t>
        </w:r>
        <w:r w:rsidR="004169BF">
          <w:rPr>
            <w:noProof/>
            <w:webHidden/>
          </w:rPr>
          <w:fldChar w:fldCharType="end"/>
        </w:r>
      </w:hyperlink>
    </w:p>
    <w:p w14:paraId="0945A0B4" w14:textId="70215F63"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0" w:history="1">
        <w:r w:rsidR="004169BF" w:rsidRPr="004535DB">
          <w:rPr>
            <w:rStyle w:val="Hyperlink"/>
            <w:noProof/>
          </w:rPr>
          <w:t>2.2.6.2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Exposure assessment</w:t>
        </w:r>
        <w:r w:rsidR="004169BF">
          <w:rPr>
            <w:noProof/>
            <w:webHidden/>
          </w:rPr>
          <w:tab/>
        </w:r>
        <w:r w:rsidR="004169BF">
          <w:rPr>
            <w:noProof/>
            <w:webHidden/>
          </w:rPr>
          <w:fldChar w:fldCharType="begin"/>
        </w:r>
        <w:r w:rsidR="004169BF">
          <w:rPr>
            <w:noProof/>
            <w:webHidden/>
          </w:rPr>
          <w:instrText xml:space="preserve"> PAGEREF _Toc531868670 \h </w:instrText>
        </w:r>
        <w:r w:rsidR="004169BF">
          <w:rPr>
            <w:noProof/>
            <w:webHidden/>
          </w:rPr>
        </w:r>
        <w:r w:rsidR="004169BF">
          <w:rPr>
            <w:noProof/>
            <w:webHidden/>
          </w:rPr>
          <w:fldChar w:fldCharType="separate"/>
        </w:r>
        <w:r w:rsidR="00F03775">
          <w:rPr>
            <w:noProof/>
            <w:webHidden/>
          </w:rPr>
          <w:t>54</w:t>
        </w:r>
        <w:r w:rsidR="004169BF">
          <w:rPr>
            <w:noProof/>
            <w:webHidden/>
          </w:rPr>
          <w:fldChar w:fldCharType="end"/>
        </w:r>
      </w:hyperlink>
    </w:p>
    <w:p w14:paraId="4F32C945" w14:textId="60EC6E15"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1" w:history="1">
        <w:r w:rsidR="004169BF" w:rsidRPr="004535DB">
          <w:rPr>
            <w:rStyle w:val="Hyperlink"/>
            <w:noProof/>
          </w:rPr>
          <w:t>2.2.6.3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characterisation for human health</w:t>
        </w:r>
        <w:r w:rsidR="004169BF">
          <w:rPr>
            <w:noProof/>
            <w:webHidden/>
          </w:rPr>
          <w:tab/>
        </w:r>
        <w:r w:rsidR="004169BF">
          <w:rPr>
            <w:noProof/>
            <w:webHidden/>
          </w:rPr>
          <w:fldChar w:fldCharType="begin"/>
        </w:r>
        <w:r w:rsidR="004169BF">
          <w:rPr>
            <w:noProof/>
            <w:webHidden/>
          </w:rPr>
          <w:instrText xml:space="preserve"> PAGEREF _Toc531868671 \h </w:instrText>
        </w:r>
        <w:r w:rsidR="004169BF">
          <w:rPr>
            <w:noProof/>
            <w:webHidden/>
          </w:rPr>
        </w:r>
        <w:r w:rsidR="004169BF">
          <w:rPr>
            <w:noProof/>
            <w:webHidden/>
          </w:rPr>
          <w:fldChar w:fldCharType="separate"/>
        </w:r>
        <w:r w:rsidR="00F03775">
          <w:rPr>
            <w:noProof/>
            <w:webHidden/>
          </w:rPr>
          <w:t>81</w:t>
        </w:r>
        <w:r w:rsidR="004169BF">
          <w:rPr>
            <w:noProof/>
            <w:webHidden/>
          </w:rPr>
          <w:fldChar w:fldCharType="end"/>
        </w:r>
      </w:hyperlink>
    </w:p>
    <w:p w14:paraId="6A603887" w14:textId="05F2F053"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2" w:history="1">
        <w:r w:rsidR="004169BF" w:rsidRPr="004535DB">
          <w:rPr>
            <w:rStyle w:val="Hyperlink"/>
            <w:noProof/>
          </w:rPr>
          <w:t>2.2.7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animal health</w:t>
        </w:r>
        <w:r w:rsidR="004169BF">
          <w:rPr>
            <w:noProof/>
            <w:webHidden/>
          </w:rPr>
          <w:tab/>
        </w:r>
        <w:r w:rsidR="004169BF">
          <w:rPr>
            <w:noProof/>
            <w:webHidden/>
          </w:rPr>
          <w:fldChar w:fldCharType="begin"/>
        </w:r>
        <w:r w:rsidR="004169BF">
          <w:rPr>
            <w:noProof/>
            <w:webHidden/>
          </w:rPr>
          <w:instrText xml:space="preserve"> PAGEREF _Toc531868672 \h </w:instrText>
        </w:r>
        <w:r w:rsidR="004169BF">
          <w:rPr>
            <w:noProof/>
            <w:webHidden/>
          </w:rPr>
        </w:r>
        <w:r w:rsidR="004169BF">
          <w:rPr>
            <w:noProof/>
            <w:webHidden/>
          </w:rPr>
          <w:fldChar w:fldCharType="separate"/>
        </w:r>
        <w:r w:rsidR="00F03775">
          <w:rPr>
            <w:noProof/>
            <w:webHidden/>
          </w:rPr>
          <w:t>90</w:t>
        </w:r>
        <w:r w:rsidR="004169BF">
          <w:rPr>
            <w:noProof/>
            <w:webHidden/>
          </w:rPr>
          <w:fldChar w:fldCharType="end"/>
        </w:r>
      </w:hyperlink>
    </w:p>
    <w:p w14:paraId="0865726E" w14:textId="5244B755"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3" w:history="1">
        <w:r w:rsidR="004169BF" w:rsidRPr="004535DB">
          <w:rPr>
            <w:rStyle w:val="Hyperlink"/>
            <w:noProof/>
          </w:rPr>
          <w:t>2.2.8</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the environment</w:t>
        </w:r>
        <w:r w:rsidR="004169BF">
          <w:rPr>
            <w:noProof/>
            <w:webHidden/>
          </w:rPr>
          <w:tab/>
        </w:r>
        <w:r w:rsidR="004169BF">
          <w:rPr>
            <w:noProof/>
            <w:webHidden/>
          </w:rPr>
          <w:fldChar w:fldCharType="begin"/>
        </w:r>
        <w:r w:rsidR="004169BF">
          <w:rPr>
            <w:noProof/>
            <w:webHidden/>
          </w:rPr>
          <w:instrText xml:space="preserve"> PAGEREF _Toc531868673 \h </w:instrText>
        </w:r>
        <w:r w:rsidR="004169BF">
          <w:rPr>
            <w:noProof/>
            <w:webHidden/>
          </w:rPr>
        </w:r>
        <w:r w:rsidR="004169BF">
          <w:rPr>
            <w:noProof/>
            <w:webHidden/>
          </w:rPr>
          <w:fldChar w:fldCharType="separate"/>
        </w:r>
        <w:r w:rsidR="00F03775">
          <w:rPr>
            <w:noProof/>
            <w:webHidden/>
          </w:rPr>
          <w:t>91</w:t>
        </w:r>
        <w:r w:rsidR="004169BF">
          <w:rPr>
            <w:noProof/>
            <w:webHidden/>
          </w:rPr>
          <w:fldChar w:fldCharType="end"/>
        </w:r>
      </w:hyperlink>
    </w:p>
    <w:p w14:paraId="36E3A234" w14:textId="664D658A"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4" w:history="1">
        <w:r w:rsidR="004169BF" w:rsidRPr="004535DB">
          <w:rPr>
            <w:rStyle w:val="Hyperlink"/>
            <w:noProof/>
          </w:rPr>
          <w:t>2.2.8.1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Effects assessment on the environment</w:t>
        </w:r>
        <w:r w:rsidR="004169BF">
          <w:rPr>
            <w:noProof/>
            <w:webHidden/>
          </w:rPr>
          <w:tab/>
        </w:r>
        <w:r w:rsidR="004169BF">
          <w:rPr>
            <w:noProof/>
            <w:webHidden/>
          </w:rPr>
          <w:fldChar w:fldCharType="begin"/>
        </w:r>
        <w:r w:rsidR="004169BF">
          <w:rPr>
            <w:noProof/>
            <w:webHidden/>
          </w:rPr>
          <w:instrText xml:space="preserve"> PAGEREF _Toc531868674 \h </w:instrText>
        </w:r>
        <w:r w:rsidR="004169BF">
          <w:rPr>
            <w:noProof/>
            <w:webHidden/>
          </w:rPr>
        </w:r>
        <w:r w:rsidR="004169BF">
          <w:rPr>
            <w:noProof/>
            <w:webHidden/>
          </w:rPr>
          <w:fldChar w:fldCharType="separate"/>
        </w:r>
        <w:r w:rsidR="00F03775">
          <w:rPr>
            <w:noProof/>
            <w:webHidden/>
          </w:rPr>
          <w:t>91</w:t>
        </w:r>
        <w:r w:rsidR="004169BF">
          <w:rPr>
            <w:noProof/>
            <w:webHidden/>
          </w:rPr>
          <w:fldChar w:fldCharType="end"/>
        </w:r>
      </w:hyperlink>
    </w:p>
    <w:p w14:paraId="55D2803A" w14:textId="3007E448"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5" w:history="1">
        <w:r w:rsidR="004169BF" w:rsidRPr="004535DB">
          <w:rPr>
            <w:rStyle w:val="Hyperlink"/>
            <w:noProof/>
          </w:rPr>
          <w:t>2.2.8.2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Exposure assessment</w:t>
        </w:r>
        <w:r w:rsidR="004169BF">
          <w:rPr>
            <w:noProof/>
            <w:webHidden/>
          </w:rPr>
          <w:tab/>
        </w:r>
        <w:r w:rsidR="004169BF">
          <w:rPr>
            <w:noProof/>
            <w:webHidden/>
          </w:rPr>
          <w:fldChar w:fldCharType="begin"/>
        </w:r>
        <w:r w:rsidR="004169BF">
          <w:rPr>
            <w:noProof/>
            <w:webHidden/>
          </w:rPr>
          <w:instrText xml:space="preserve"> PAGEREF _Toc531868675 \h </w:instrText>
        </w:r>
        <w:r w:rsidR="004169BF">
          <w:rPr>
            <w:noProof/>
            <w:webHidden/>
          </w:rPr>
        </w:r>
        <w:r w:rsidR="004169BF">
          <w:rPr>
            <w:noProof/>
            <w:webHidden/>
          </w:rPr>
          <w:fldChar w:fldCharType="separate"/>
        </w:r>
        <w:r w:rsidR="00F03775">
          <w:rPr>
            <w:noProof/>
            <w:webHidden/>
          </w:rPr>
          <w:t>98</w:t>
        </w:r>
        <w:r w:rsidR="004169BF">
          <w:rPr>
            <w:noProof/>
            <w:webHidden/>
          </w:rPr>
          <w:fldChar w:fldCharType="end"/>
        </w:r>
      </w:hyperlink>
    </w:p>
    <w:p w14:paraId="078E1B06" w14:textId="6058747D" w:rsidR="004169BF" w:rsidRDefault="00980D14">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6" w:history="1">
        <w:r w:rsidR="004169BF" w:rsidRPr="004535DB">
          <w:rPr>
            <w:rStyle w:val="Hyperlink"/>
            <w:noProof/>
          </w:rPr>
          <w:t>2.2.8.3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characterisation</w:t>
        </w:r>
        <w:r w:rsidR="004169BF">
          <w:rPr>
            <w:noProof/>
            <w:webHidden/>
          </w:rPr>
          <w:tab/>
        </w:r>
        <w:r w:rsidR="004169BF">
          <w:rPr>
            <w:noProof/>
            <w:webHidden/>
          </w:rPr>
          <w:fldChar w:fldCharType="begin"/>
        </w:r>
        <w:r w:rsidR="004169BF">
          <w:rPr>
            <w:noProof/>
            <w:webHidden/>
          </w:rPr>
          <w:instrText xml:space="preserve"> PAGEREF _Toc531868676 \h </w:instrText>
        </w:r>
        <w:r w:rsidR="004169BF">
          <w:rPr>
            <w:noProof/>
            <w:webHidden/>
          </w:rPr>
        </w:r>
        <w:r w:rsidR="004169BF">
          <w:rPr>
            <w:noProof/>
            <w:webHidden/>
          </w:rPr>
          <w:fldChar w:fldCharType="separate"/>
        </w:r>
        <w:r w:rsidR="00F03775">
          <w:rPr>
            <w:noProof/>
            <w:webHidden/>
          </w:rPr>
          <w:t>103</w:t>
        </w:r>
        <w:r w:rsidR="004169BF">
          <w:rPr>
            <w:noProof/>
            <w:webHidden/>
          </w:rPr>
          <w:fldChar w:fldCharType="end"/>
        </w:r>
      </w:hyperlink>
    </w:p>
    <w:p w14:paraId="71AF6282" w14:textId="40AAD620"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7" w:history="1">
        <w:r w:rsidR="004169BF" w:rsidRPr="004535DB">
          <w:rPr>
            <w:rStyle w:val="Hyperlink"/>
            <w:noProof/>
          </w:rPr>
          <w:t>2.2.9</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Measures to protect man, animals and the environment</w:t>
        </w:r>
        <w:r w:rsidR="004169BF">
          <w:rPr>
            <w:noProof/>
            <w:webHidden/>
          </w:rPr>
          <w:tab/>
        </w:r>
        <w:r w:rsidR="004169BF">
          <w:rPr>
            <w:noProof/>
            <w:webHidden/>
          </w:rPr>
          <w:fldChar w:fldCharType="begin"/>
        </w:r>
        <w:r w:rsidR="004169BF">
          <w:rPr>
            <w:noProof/>
            <w:webHidden/>
          </w:rPr>
          <w:instrText xml:space="preserve"> PAGEREF _Toc531868677 \h </w:instrText>
        </w:r>
        <w:r w:rsidR="004169BF">
          <w:rPr>
            <w:noProof/>
            <w:webHidden/>
          </w:rPr>
        </w:r>
        <w:r w:rsidR="004169BF">
          <w:rPr>
            <w:noProof/>
            <w:webHidden/>
          </w:rPr>
          <w:fldChar w:fldCharType="separate"/>
        </w:r>
        <w:r w:rsidR="00F03775">
          <w:rPr>
            <w:noProof/>
            <w:webHidden/>
          </w:rPr>
          <w:t>104</w:t>
        </w:r>
        <w:r w:rsidR="004169BF">
          <w:rPr>
            <w:noProof/>
            <w:webHidden/>
          </w:rPr>
          <w:fldChar w:fldCharType="end"/>
        </w:r>
      </w:hyperlink>
    </w:p>
    <w:p w14:paraId="7063114E" w14:textId="0EF43156"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8" w:history="1">
        <w:r w:rsidR="004169BF" w:rsidRPr="004535DB">
          <w:rPr>
            <w:rStyle w:val="Hyperlink"/>
            <w:noProof/>
          </w:rPr>
          <w:t>2.2.10</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Assessment of a combination of biocidal products</w:t>
        </w:r>
        <w:r w:rsidR="004169BF">
          <w:rPr>
            <w:noProof/>
            <w:webHidden/>
          </w:rPr>
          <w:tab/>
        </w:r>
        <w:r w:rsidR="004169BF">
          <w:rPr>
            <w:noProof/>
            <w:webHidden/>
          </w:rPr>
          <w:fldChar w:fldCharType="begin"/>
        </w:r>
        <w:r w:rsidR="004169BF">
          <w:rPr>
            <w:noProof/>
            <w:webHidden/>
          </w:rPr>
          <w:instrText xml:space="preserve"> PAGEREF _Toc531868678 \h </w:instrText>
        </w:r>
        <w:r w:rsidR="004169BF">
          <w:rPr>
            <w:noProof/>
            <w:webHidden/>
          </w:rPr>
        </w:r>
        <w:r w:rsidR="004169BF">
          <w:rPr>
            <w:noProof/>
            <w:webHidden/>
          </w:rPr>
          <w:fldChar w:fldCharType="separate"/>
        </w:r>
        <w:r w:rsidR="00F03775">
          <w:rPr>
            <w:noProof/>
            <w:webHidden/>
          </w:rPr>
          <w:t>105</w:t>
        </w:r>
        <w:r w:rsidR="004169BF">
          <w:rPr>
            <w:noProof/>
            <w:webHidden/>
          </w:rPr>
          <w:fldChar w:fldCharType="end"/>
        </w:r>
      </w:hyperlink>
    </w:p>
    <w:p w14:paraId="239BD5BF" w14:textId="200CF754" w:rsidR="004169BF" w:rsidRDefault="00980D14">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9" w:history="1">
        <w:r w:rsidR="004169BF" w:rsidRPr="004535DB">
          <w:rPr>
            <w:rStyle w:val="Hyperlink"/>
            <w:noProof/>
          </w:rPr>
          <w:t>2.2.11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Comparative assessment</w:t>
        </w:r>
        <w:r w:rsidR="004169BF">
          <w:rPr>
            <w:noProof/>
            <w:webHidden/>
          </w:rPr>
          <w:tab/>
        </w:r>
        <w:r w:rsidR="004169BF">
          <w:rPr>
            <w:noProof/>
            <w:webHidden/>
          </w:rPr>
          <w:fldChar w:fldCharType="begin"/>
        </w:r>
        <w:r w:rsidR="004169BF">
          <w:rPr>
            <w:noProof/>
            <w:webHidden/>
          </w:rPr>
          <w:instrText xml:space="preserve"> PAGEREF _Toc531868679 \h </w:instrText>
        </w:r>
        <w:r w:rsidR="004169BF">
          <w:rPr>
            <w:noProof/>
            <w:webHidden/>
          </w:rPr>
        </w:r>
        <w:r w:rsidR="004169BF">
          <w:rPr>
            <w:noProof/>
            <w:webHidden/>
          </w:rPr>
          <w:fldChar w:fldCharType="separate"/>
        </w:r>
        <w:r w:rsidR="00F03775">
          <w:rPr>
            <w:noProof/>
            <w:webHidden/>
          </w:rPr>
          <w:t>105</w:t>
        </w:r>
        <w:r w:rsidR="004169BF">
          <w:rPr>
            <w:noProof/>
            <w:webHidden/>
          </w:rPr>
          <w:fldChar w:fldCharType="end"/>
        </w:r>
      </w:hyperlink>
    </w:p>
    <w:p w14:paraId="2C63D655" w14:textId="2EDC0C31" w:rsidR="004169BF" w:rsidRDefault="00980D14">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80" w:history="1">
        <w:r w:rsidR="004169BF" w:rsidRPr="004535DB">
          <w:rPr>
            <w:rStyle w:val="Hyperlink"/>
            <w:rFonts w:eastAsia="Calibri"/>
            <w:noProof/>
            <w:lang w:bidi="x-none"/>
          </w:rPr>
          <w:t>3.</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Annexes</w:t>
        </w:r>
        <w:r w:rsidR="004169BF">
          <w:rPr>
            <w:noProof/>
            <w:webHidden/>
          </w:rPr>
          <w:tab/>
        </w:r>
        <w:r w:rsidR="004169BF">
          <w:rPr>
            <w:noProof/>
            <w:webHidden/>
          </w:rPr>
          <w:fldChar w:fldCharType="begin"/>
        </w:r>
        <w:r w:rsidR="004169BF">
          <w:rPr>
            <w:noProof/>
            <w:webHidden/>
          </w:rPr>
          <w:instrText xml:space="preserve"> PAGEREF _Toc531868680 \h </w:instrText>
        </w:r>
        <w:r w:rsidR="004169BF">
          <w:rPr>
            <w:noProof/>
            <w:webHidden/>
          </w:rPr>
        </w:r>
        <w:r w:rsidR="004169BF">
          <w:rPr>
            <w:noProof/>
            <w:webHidden/>
          </w:rPr>
          <w:fldChar w:fldCharType="separate"/>
        </w:r>
        <w:r w:rsidR="00F03775">
          <w:rPr>
            <w:noProof/>
            <w:webHidden/>
          </w:rPr>
          <w:t>106</w:t>
        </w:r>
        <w:r w:rsidR="004169BF">
          <w:rPr>
            <w:noProof/>
            <w:webHidden/>
          </w:rPr>
          <w:fldChar w:fldCharType="end"/>
        </w:r>
      </w:hyperlink>
    </w:p>
    <w:p w14:paraId="0D223B78" w14:textId="0855A6F7"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1" w:history="1">
        <w:r w:rsidR="004169BF" w:rsidRPr="004535DB">
          <w:rPr>
            <w:rStyle w:val="Hyperlink"/>
            <w:noProof/>
          </w:rPr>
          <w:t>3.1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List of studies for the biocidal product</w:t>
        </w:r>
        <w:r w:rsidR="004169BF">
          <w:rPr>
            <w:noProof/>
            <w:webHidden/>
          </w:rPr>
          <w:tab/>
        </w:r>
        <w:r w:rsidR="004169BF">
          <w:rPr>
            <w:noProof/>
            <w:webHidden/>
          </w:rPr>
          <w:fldChar w:fldCharType="begin"/>
        </w:r>
        <w:r w:rsidR="004169BF">
          <w:rPr>
            <w:noProof/>
            <w:webHidden/>
          </w:rPr>
          <w:instrText xml:space="preserve"> PAGEREF _Toc531868681 \h </w:instrText>
        </w:r>
        <w:r w:rsidR="004169BF">
          <w:rPr>
            <w:noProof/>
            <w:webHidden/>
          </w:rPr>
        </w:r>
        <w:r w:rsidR="004169BF">
          <w:rPr>
            <w:noProof/>
            <w:webHidden/>
          </w:rPr>
          <w:fldChar w:fldCharType="separate"/>
        </w:r>
        <w:r w:rsidR="00F03775">
          <w:rPr>
            <w:noProof/>
            <w:webHidden/>
          </w:rPr>
          <w:t>107</w:t>
        </w:r>
        <w:r w:rsidR="004169BF">
          <w:rPr>
            <w:noProof/>
            <w:webHidden/>
          </w:rPr>
          <w:fldChar w:fldCharType="end"/>
        </w:r>
      </w:hyperlink>
    </w:p>
    <w:p w14:paraId="75503418" w14:textId="31E34917"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2" w:history="1">
        <w:r w:rsidR="004169BF" w:rsidRPr="004535DB">
          <w:rPr>
            <w:rStyle w:val="Hyperlink"/>
            <w:noProof/>
          </w:rPr>
          <w:t>3.2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Output tables from exposure assessment tools</w:t>
        </w:r>
        <w:r w:rsidR="004169BF">
          <w:rPr>
            <w:noProof/>
            <w:webHidden/>
          </w:rPr>
          <w:tab/>
        </w:r>
        <w:r w:rsidR="004169BF">
          <w:rPr>
            <w:noProof/>
            <w:webHidden/>
          </w:rPr>
          <w:fldChar w:fldCharType="begin"/>
        </w:r>
        <w:r w:rsidR="004169BF">
          <w:rPr>
            <w:noProof/>
            <w:webHidden/>
          </w:rPr>
          <w:instrText xml:space="preserve"> PAGEREF _Toc531868682 \h </w:instrText>
        </w:r>
        <w:r w:rsidR="004169BF">
          <w:rPr>
            <w:noProof/>
            <w:webHidden/>
          </w:rPr>
        </w:r>
        <w:r w:rsidR="004169BF">
          <w:rPr>
            <w:noProof/>
            <w:webHidden/>
          </w:rPr>
          <w:fldChar w:fldCharType="separate"/>
        </w:r>
        <w:r w:rsidR="00F03775">
          <w:rPr>
            <w:noProof/>
            <w:webHidden/>
          </w:rPr>
          <w:t>111</w:t>
        </w:r>
        <w:r w:rsidR="004169BF">
          <w:rPr>
            <w:noProof/>
            <w:webHidden/>
          </w:rPr>
          <w:fldChar w:fldCharType="end"/>
        </w:r>
      </w:hyperlink>
    </w:p>
    <w:p w14:paraId="20EB8431" w14:textId="3465DD50"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4" w:history="1">
        <w:r w:rsidR="004169BF" w:rsidRPr="004535DB">
          <w:rPr>
            <w:rStyle w:val="Hyperlink"/>
            <w:noProof/>
          </w:rPr>
          <w:t>3.3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New information on the active substance</w:t>
        </w:r>
        <w:r w:rsidR="004169BF">
          <w:rPr>
            <w:noProof/>
            <w:webHidden/>
          </w:rPr>
          <w:tab/>
        </w:r>
        <w:r w:rsidR="004169BF">
          <w:rPr>
            <w:noProof/>
            <w:webHidden/>
          </w:rPr>
          <w:fldChar w:fldCharType="begin"/>
        </w:r>
        <w:r w:rsidR="004169BF">
          <w:rPr>
            <w:noProof/>
            <w:webHidden/>
          </w:rPr>
          <w:instrText xml:space="preserve"> PAGEREF _Toc531868684 \h </w:instrText>
        </w:r>
        <w:r w:rsidR="004169BF">
          <w:rPr>
            <w:noProof/>
            <w:webHidden/>
          </w:rPr>
        </w:r>
        <w:r w:rsidR="004169BF">
          <w:rPr>
            <w:noProof/>
            <w:webHidden/>
          </w:rPr>
          <w:fldChar w:fldCharType="separate"/>
        </w:r>
        <w:r w:rsidR="00F03775">
          <w:rPr>
            <w:noProof/>
            <w:webHidden/>
          </w:rPr>
          <w:t>119</w:t>
        </w:r>
        <w:r w:rsidR="004169BF">
          <w:rPr>
            <w:noProof/>
            <w:webHidden/>
          </w:rPr>
          <w:fldChar w:fldCharType="end"/>
        </w:r>
      </w:hyperlink>
    </w:p>
    <w:p w14:paraId="063B0EDE" w14:textId="41BE76F0"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5" w:history="1">
        <w:r w:rsidR="004169BF" w:rsidRPr="004535DB">
          <w:rPr>
            <w:rStyle w:val="Hyperlink"/>
            <w:noProof/>
          </w:rPr>
          <w:t>3.4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Residue behaviour</w:t>
        </w:r>
        <w:r w:rsidR="004169BF">
          <w:rPr>
            <w:noProof/>
            <w:webHidden/>
          </w:rPr>
          <w:tab/>
        </w:r>
        <w:r w:rsidR="004169BF">
          <w:rPr>
            <w:noProof/>
            <w:webHidden/>
          </w:rPr>
          <w:fldChar w:fldCharType="begin"/>
        </w:r>
        <w:r w:rsidR="004169BF">
          <w:rPr>
            <w:noProof/>
            <w:webHidden/>
          </w:rPr>
          <w:instrText xml:space="preserve"> PAGEREF _Toc531868685 \h </w:instrText>
        </w:r>
        <w:r w:rsidR="004169BF">
          <w:rPr>
            <w:noProof/>
            <w:webHidden/>
          </w:rPr>
        </w:r>
        <w:r w:rsidR="004169BF">
          <w:rPr>
            <w:noProof/>
            <w:webHidden/>
          </w:rPr>
          <w:fldChar w:fldCharType="separate"/>
        </w:r>
        <w:r w:rsidR="00F03775">
          <w:rPr>
            <w:noProof/>
            <w:webHidden/>
          </w:rPr>
          <w:t>119</w:t>
        </w:r>
        <w:r w:rsidR="004169BF">
          <w:rPr>
            <w:noProof/>
            <w:webHidden/>
          </w:rPr>
          <w:fldChar w:fldCharType="end"/>
        </w:r>
      </w:hyperlink>
    </w:p>
    <w:p w14:paraId="22B5FD91" w14:textId="0C40FCD6"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6" w:history="1">
        <w:r w:rsidR="004169BF" w:rsidRPr="004535DB">
          <w:rPr>
            <w:rStyle w:val="Hyperlink"/>
            <w:noProof/>
          </w:rPr>
          <w:t>3.5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Summaries of the efficacy studies (B.5.10.1-xx)</w:t>
        </w:r>
        <w:r w:rsidR="004169BF">
          <w:rPr>
            <w:noProof/>
            <w:webHidden/>
          </w:rPr>
          <w:tab/>
        </w:r>
        <w:r w:rsidR="004169BF">
          <w:rPr>
            <w:noProof/>
            <w:webHidden/>
          </w:rPr>
          <w:fldChar w:fldCharType="begin"/>
        </w:r>
        <w:r w:rsidR="004169BF">
          <w:rPr>
            <w:noProof/>
            <w:webHidden/>
          </w:rPr>
          <w:instrText xml:space="preserve"> PAGEREF _Toc531868686 \h </w:instrText>
        </w:r>
        <w:r w:rsidR="004169BF">
          <w:rPr>
            <w:noProof/>
            <w:webHidden/>
          </w:rPr>
        </w:r>
        <w:r w:rsidR="004169BF">
          <w:rPr>
            <w:noProof/>
            <w:webHidden/>
          </w:rPr>
          <w:fldChar w:fldCharType="separate"/>
        </w:r>
        <w:r w:rsidR="00F03775">
          <w:rPr>
            <w:noProof/>
            <w:webHidden/>
          </w:rPr>
          <w:t>119</w:t>
        </w:r>
        <w:r w:rsidR="004169BF">
          <w:rPr>
            <w:noProof/>
            <w:webHidden/>
          </w:rPr>
          <w:fldChar w:fldCharType="end"/>
        </w:r>
      </w:hyperlink>
    </w:p>
    <w:p w14:paraId="3ACD6FE1" w14:textId="6706C10A"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7" w:history="1">
        <w:r w:rsidR="004169BF" w:rsidRPr="004535DB">
          <w:rPr>
            <w:rStyle w:val="Hyperlink"/>
            <w:noProof/>
          </w:rPr>
          <w:t>3.6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lang w:val="de-DE"/>
          </w:rPr>
          <w:t>Confidential annex</w:t>
        </w:r>
        <w:r w:rsidR="004169BF">
          <w:rPr>
            <w:noProof/>
            <w:webHidden/>
          </w:rPr>
          <w:tab/>
        </w:r>
        <w:r w:rsidR="004169BF">
          <w:rPr>
            <w:noProof/>
            <w:webHidden/>
          </w:rPr>
          <w:fldChar w:fldCharType="begin"/>
        </w:r>
        <w:r w:rsidR="004169BF">
          <w:rPr>
            <w:noProof/>
            <w:webHidden/>
          </w:rPr>
          <w:instrText xml:space="preserve"> PAGEREF _Toc531868687 \h </w:instrText>
        </w:r>
        <w:r w:rsidR="004169BF">
          <w:rPr>
            <w:noProof/>
            <w:webHidden/>
          </w:rPr>
        </w:r>
        <w:r w:rsidR="004169BF">
          <w:rPr>
            <w:noProof/>
            <w:webHidden/>
          </w:rPr>
          <w:fldChar w:fldCharType="separate"/>
        </w:r>
        <w:r w:rsidR="00F03775">
          <w:rPr>
            <w:noProof/>
            <w:webHidden/>
          </w:rPr>
          <w:t>119</w:t>
        </w:r>
        <w:r w:rsidR="004169BF">
          <w:rPr>
            <w:noProof/>
            <w:webHidden/>
          </w:rPr>
          <w:fldChar w:fldCharType="end"/>
        </w:r>
      </w:hyperlink>
    </w:p>
    <w:p w14:paraId="7649DA29" w14:textId="6DA2ADC7" w:rsidR="004169BF" w:rsidRDefault="00980D14">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8" w:history="1">
        <w:r w:rsidR="004169BF" w:rsidRPr="004535DB">
          <w:rPr>
            <w:rStyle w:val="Hyperlink"/>
            <w:noProof/>
          </w:rPr>
          <w:t>3.7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lang w:val="de-DE"/>
          </w:rPr>
          <w:t>Other</w:t>
        </w:r>
        <w:r w:rsidR="004169BF">
          <w:rPr>
            <w:noProof/>
            <w:webHidden/>
          </w:rPr>
          <w:tab/>
        </w:r>
        <w:r w:rsidR="004169BF">
          <w:rPr>
            <w:noProof/>
            <w:webHidden/>
          </w:rPr>
          <w:fldChar w:fldCharType="begin"/>
        </w:r>
        <w:r w:rsidR="004169BF">
          <w:rPr>
            <w:noProof/>
            <w:webHidden/>
          </w:rPr>
          <w:instrText xml:space="preserve"> PAGEREF _Toc531868688 \h </w:instrText>
        </w:r>
        <w:r w:rsidR="004169BF">
          <w:rPr>
            <w:noProof/>
            <w:webHidden/>
          </w:rPr>
        </w:r>
        <w:r w:rsidR="004169BF">
          <w:rPr>
            <w:noProof/>
            <w:webHidden/>
          </w:rPr>
          <w:fldChar w:fldCharType="separate"/>
        </w:r>
        <w:r w:rsidR="00F03775">
          <w:rPr>
            <w:noProof/>
            <w:webHidden/>
          </w:rPr>
          <w:t>119</w:t>
        </w:r>
        <w:r w:rsidR="004169BF">
          <w:rPr>
            <w:noProof/>
            <w:webHidden/>
          </w:rPr>
          <w:fldChar w:fldCharType="end"/>
        </w:r>
      </w:hyperlink>
    </w:p>
    <w:p w14:paraId="0A43456B" w14:textId="77777777" w:rsidR="00CF59EF" w:rsidRDefault="000B5D37">
      <w:pPr>
        <w:spacing w:line="276" w:lineRule="auto"/>
        <w:rPr>
          <w:rFonts w:eastAsia="Calibri"/>
          <w:lang w:eastAsia="en-US"/>
        </w:rPr>
      </w:pPr>
      <w:r>
        <w:fldChar w:fldCharType="end"/>
      </w:r>
    </w:p>
    <w:p w14:paraId="51CACA59" w14:textId="77777777" w:rsidR="00CD3957" w:rsidRDefault="00CD3957">
      <w:pPr>
        <w:rPr>
          <w:rFonts w:eastAsia="Calibri"/>
          <w:b/>
          <w:caps/>
          <w:sz w:val="28"/>
          <w:lang w:val="de-DE"/>
        </w:rPr>
      </w:pPr>
      <w:bookmarkStart w:id="1" w:name="_Toc389728849"/>
      <w:bookmarkEnd w:id="1"/>
      <w:r>
        <w:rPr>
          <w:rFonts w:eastAsia="Calibri"/>
        </w:rPr>
        <w:br w:type="page"/>
      </w:r>
    </w:p>
    <w:p w14:paraId="6BC1A62D" w14:textId="77777777" w:rsidR="00535DF2" w:rsidRPr="00CD3957" w:rsidRDefault="000B5D37" w:rsidP="00172945">
      <w:pPr>
        <w:pStyle w:val="Heading1"/>
        <w:numPr>
          <w:ilvl w:val="0"/>
          <w:numId w:val="2"/>
        </w:numPr>
        <w:rPr>
          <w:rFonts w:eastAsia="Calibri"/>
        </w:rPr>
      </w:pPr>
      <w:bookmarkStart w:id="2" w:name="_Toc531868617"/>
      <w:r>
        <w:rPr>
          <w:rFonts w:eastAsia="Calibri"/>
        </w:rPr>
        <w:lastRenderedPageBreak/>
        <w:t>CONCLUSION</w:t>
      </w:r>
      <w:bookmarkEnd w:id="2"/>
    </w:p>
    <w:p w14:paraId="7F10F11F" w14:textId="77777777" w:rsidR="00046EB4" w:rsidRDefault="00E27B91" w:rsidP="00046EB4">
      <w:pPr>
        <w:ind w:firstLine="360"/>
      </w:pPr>
      <w:proofErr w:type="spellStart"/>
      <w:r>
        <w:t>Kalaguard</w:t>
      </w:r>
      <w:proofErr w:type="spellEnd"/>
      <w:r>
        <w:rPr>
          <w:vertAlign w:val="superscript"/>
        </w:rPr>
        <w:t>®</w:t>
      </w:r>
      <w:r>
        <w:t xml:space="preserve"> SB</w:t>
      </w:r>
      <w:r w:rsidR="006F3719">
        <w:t xml:space="preserve"> (tradename of the product </w:t>
      </w:r>
      <w:proofErr w:type="spellStart"/>
      <w:r w:rsidR="006F3719">
        <w:t>Purox</w:t>
      </w:r>
      <w:proofErr w:type="spellEnd"/>
      <w:r w:rsidR="006F3719">
        <w:t xml:space="preserve"> Clean)</w:t>
      </w:r>
      <w:r w:rsidR="00FB6B4A" w:rsidRPr="0050300E">
        <w:t xml:space="preserve"> is a </w:t>
      </w:r>
      <w:r w:rsidR="00FB6B4A">
        <w:t xml:space="preserve">white granular and odourless </w:t>
      </w:r>
      <w:r w:rsidR="00FB6B4A" w:rsidRPr="0050300E">
        <w:t>biocidal product</w:t>
      </w:r>
      <w:r w:rsidR="00FB6B4A">
        <w:t xml:space="preserve"> containing </w:t>
      </w:r>
      <w:r w:rsidR="00EA6FAB">
        <w:t xml:space="preserve">sodium benzoate </w:t>
      </w:r>
      <w:r w:rsidR="00FB6B4A">
        <w:t>as active substance</w:t>
      </w:r>
      <w:r w:rsidR="00FB6B4A" w:rsidRPr="0050300E">
        <w:t xml:space="preserve">. </w:t>
      </w:r>
      <w:r w:rsidR="00D5243D">
        <w:t xml:space="preserve">The </w:t>
      </w:r>
      <w:r w:rsidR="006738CA">
        <w:t xml:space="preserve">product is intended for industrial application, and the </w:t>
      </w:r>
      <w:r w:rsidR="00D5243D">
        <w:t xml:space="preserve">intended use of the product is in-can preservation. </w:t>
      </w:r>
    </w:p>
    <w:p w14:paraId="47FF3E4D" w14:textId="77777777" w:rsidR="00046EB4" w:rsidRDefault="00D5243D" w:rsidP="00046EB4">
      <w:pPr>
        <w:ind w:firstLine="360"/>
      </w:pPr>
      <w:r>
        <w:t>The active substance sodium benzoate is included in annex I of Regulation (EU) 528/2012. As handling of the product requires personal protective equipment, the product is deemed not to be eligible for the simplified authorisation procedure</w:t>
      </w:r>
      <w:r w:rsidR="009B332A">
        <w:t xml:space="preserve"> of the Regulation</w:t>
      </w:r>
      <w:r>
        <w:t xml:space="preserve">. </w:t>
      </w:r>
      <w:r w:rsidR="009B332A">
        <w:t xml:space="preserve">Instead, a national authorisation was applied for </w:t>
      </w:r>
      <w:r w:rsidR="0009356A">
        <w:t xml:space="preserve">in the Netherlands </w:t>
      </w:r>
      <w:r w:rsidR="009B332A">
        <w:t>according to chapter VI</w:t>
      </w:r>
      <w:r w:rsidR="00046EB4">
        <w:t xml:space="preserve"> of the BPR</w:t>
      </w:r>
      <w:r w:rsidR="0009356A">
        <w:t>, and mutual recognit</w:t>
      </w:r>
      <w:r w:rsidR="00046EB4">
        <w:t xml:space="preserve">ion in parallel in several member states of the </w:t>
      </w:r>
      <w:r w:rsidR="0009356A">
        <w:t>Union</w:t>
      </w:r>
      <w:r w:rsidR="009B332A">
        <w:t>.</w:t>
      </w:r>
      <w:r w:rsidR="004234C9">
        <w:t xml:space="preserve"> </w:t>
      </w:r>
    </w:p>
    <w:p w14:paraId="2605FC8C" w14:textId="77777777" w:rsidR="00046EB4" w:rsidRDefault="00325F56" w:rsidP="00046EB4">
      <w:pPr>
        <w:ind w:firstLine="360"/>
      </w:pPr>
      <w:r w:rsidRPr="00064888">
        <w:t xml:space="preserve">As sodium benzoate is included in Annex I of the BPR, </w:t>
      </w:r>
      <w:r w:rsidR="00046EB4">
        <w:t>it is considered approved under the BPR, although</w:t>
      </w:r>
      <w:r w:rsidR="00046EB4" w:rsidRPr="00064888">
        <w:t xml:space="preserve"> </w:t>
      </w:r>
      <w:r w:rsidRPr="00064888">
        <w:t>no</w:t>
      </w:r>
      <w:r w:rsidR="008D58EF">
        <w:t xml:space="preserve"> complete</w:t>
      </w:r>
      <w:r w:rsidRPr="00064888">
        <w:t xml:space="preserve"> active substance dossier and no CAR is available. </w:t>
      </w:r>
      <w:r w:rsidR="00046EB4">
        <w:t>Where considered relevant, d</w:t>
      </w:r>
      <w:r w:rsidRPr="00064888">
        <w:t>ata on t</w:t>
      </w:r>
      <w:r w:rsidR="00046EB4">
        <w:t>he active substance in accordance</w:t>
      </w:r>
      <w:r w:rsidR="00046EB4" w:rsidRPr="00064888">
        <w:t xml:space="preserve"> with the data requirements of Annex II of Regulation (EU) No. 528/2012</w:t>
      </w:r>
      <w:r w:rsidR="00046EB4">
        <w:t>,</w:t>
      </w:r>
      <w:r w:rsidR="00046EB4" w:rsidRPr="00064888">
        <w:t xml:space="preserve"> </w:t>
      </w:r>
      <w:r w:rsidR="00046EB4">
        <w:t>w</w:t>
      </w:r>
      <w:r w:rsidR="006A6E77">
        <w:t>ere</w:t>
      </w:r>
      <w:r w:rsidR="00046EB4">
        <w:t xml:space="preserve"> submitted </w:t>
      </w:r>
      <w:r w:rsidR="00046EB4" w:rsidRPr="00064888">
        <w:t>as</w:t>
      </w:r>
      <w:r w:rsidR="00046EB4">
        <w:t xml:space="preserve"> part of the product application</w:t>
      </w:r>
      <w:r w:rsidRPr="00064888">
        <w:t>.</w:t>
      </w:r>
      <w:r w:rsidR="00046EB4" w:rsidRPr="00046EB4">
        <w:t xml:space="preserve"> </w:t>
      </w:r>
      <w:r w:rsidR="00046EB4">
        <w:t xml:space="preserve">Products containing this active substance are eligible for authorization in accordance with Art. 19, point (1)(a) of (EU) No. 528/2012, provided other conditions of Art. 19 are met. </w:t>
      </w:r>
    </w:p>
    <w:p w14:paraId="4EB641E7" w14:textId="77777777" w:rsidR="00FE07F9" w:rsidRDefault="00EA6FAB" w:rsidP="00046EB4">
      <w:pPr>
        <w:ind w:firstLine="360"/>
        <w:jc w:val="both"/>
      </w:pPr>
      <w:r>
        <w:t xml:space="preserve">The product contains 100 % w/w sodium benzoate </w:t>
      </w:r>
      <w:r>
        <w:rPr>
          <w:lang w:val="en-US"/>
        </w:rPr>
        <w:t xml:space="preserve">(&gt;99.99 %(w/w) pure). </w:t>
      </w:r>
      <w:r w:rsidR="00FB6B4A" w:rsidRPr="0050300E">
        <w:t xml:space="preserve">The pH value of a 1% solution in water is </w:t>
      </w:r>
      <w:r w:rsidR="00FB6B4A">
        <w:t>7.21</w:t>
      </w:r>
      <w:r w:rsidR="00FB6B4A" w:rsidRPr="0050300E">
        <w:t>. The density of the biocidal product is</w:t>
      </w:r>
      <w:r w:rsidR="00FB6B4A" w:rsidRPr="0050300E">
        <w:rPr>
          <w:rFonts w:eastAsia="Calibri"/>
        </w:rPr>
        <w:t xml:space="preserve"> 1.</w:t>
      </w:r>
      <w:r w:rsidR="00FB6B4A">
        <w:rPr>
          <w:rFonts w:eastAsia="Calibri"/>
        </w:rPr>
        <w:t>5</w:t>
      </w:r>
      <w:r w:rsidR="00FB6B4A" w:rsidRPr="0050300E">
        <w:rPr>
          <w:rFonts w:eastAsia="Calibri"/>
        </w:rPr>
        <w:t xml:space="preserve"> </w:t>
      </w:r>
      <w:r w:rsidR="009C1530">
        <w:t>at 20 °C. T</w:t>
      </w:r>
      <w:r w:rsidR="00FB6B4A" w:rsidRPr="0050300E">
        <w:t>he</w:t>
      </w:r>
      <w:r w:rsidR="00FB6B4A" w:rsidRPr="00390221">
        <w:rPr>
          <w:rFonts w:eastAsia="Calibri"/>
          <w:lang w:val="en-US"/>
        </w:rPr>
        <w:t xml:space="preserve"> </w:t>
      </w:r>
      <w:r w:rsidR="00FB6B4A">
        <w:rPr>
          <w:rFonts w:eastAsia="Calibri"/>
          <w:lang w:val="en-US"/>
        </w:rPr>
        <w:t>size of 98.6 % of the particles was between 0.125-2.36 mm whilst 1.4 % of the particles were smaller than 0.125 mm</w:t>
      </w:r>
      <w:r w:rsidR="00FB6B4A" w:rsidRPr="0050300E">
        <w:t xml:space="preserve">. It </w:t>
      </w:r>
      <w:r w:rsidR="00FE07F9">
        <w:t>is not classified with regard to physical and chemical hazards</w:t>
      </w:r>
      <w:r w:rsidR="00FB6B4A" w:rsidRPr="0050300E">
        <w:t>.</w:t>
      </w:r>
      <w:r w:rsidR="00FB6B4A">
        <w:t xml:space="preserve"> </w:t>
      </w:r>
    </w:p>
    <w:p w14:paraId="410B19DA" w14:textId="196AD10F" w:rsidR="00535DF2" w:rsidRDefault="001C1AB4" w:rsidP="00046EB4">
      <w:pPr>
        <w:spacing w:line="260" w:lineRule="atLeast"/>
        <w:ind w:firstLine="360"/>
      </w:pPr>
      <w:r>
        <w:t>The product has a</w:t>
      </w:r>
      <w:r w:rsidR="00D527F2">
        <w:t xml:space="preserve"> shelf life of 3 years. </w:t>
      </w:r>
    </w:p>
    <w:p w14:paraId="61EB9F5A" w14:textId="77777777" w:rsidR="00A123B9" w:rsidRDefault="001026D5" w:rsidP="00046EB4">
      <w:pPr>
        <w:spacing w:line="260" w:lineRule="atLeast"/>
        <w:ind w:firstLine="360"/>
        <w:rPr>
          <w:rFonts w:eastAsia="Calibri"/>
          <w:iCs/>
          <w:szCs w:val="24"/>
          <w:lang w:eastAsia="en-US"/>
        </w:rPr>
      </w:pPr>
      <w:r>
        <w:rPr>
          <w:rFonts w:eastAsia="Calibri"/>
          <w:iCs/>
          <w:szCs w:val="24"/>
          <w:lang w:eastAsia="en-US"/>
        </w:rPr>
        <w:t xml:space="preserve">The efficacy of </w:t>
      </w:r>
      <w:proofErr w:type="spellStart"/>
      <w:r w:rsidR="00143734">
        <w:t>Kalaguard</w:t>
      </w:r>
      <w:proofErr w:type="spellEnd"/>
      <w:r w:rsidR="00143734">
        <w:rPr>
          <w:vertAlign w:val="superscript"/>
        </w:rPr>
        <w:t>®</w:t>
      </w:r>
      <w:r w:rsidR="00143734">
        <w:t xml:space="preserve"> SB</w:t>
      </w:r>
      <w:r w:rsidR="00143734" w:rsidRPr="0050300E">
        <w:t xml:space="preserve"> </w:t>
      </w:r>
      <w:r>
        <w:rPr>
          <w:rFonts w:eastAsia="Calibri"/>
          <w:iCs/>
          <w:szCs w:val="24"/>
          <w:lang w:eastAsia="en-US"/>
        </w:rPr>
        <w:t xml:space="preserve">as in-can preservative in detergents was successfully demonstrated against bacteria and yeasts. The substance was shown to be efficacious at concentrations </w:t>
      </w:r>
      <w:r w:rsidRPr="00F053B3">
        <w:rPr>
          <w:rFonts w:eastAsia="Calibri"/>
          <w:iCs/>
          <w:szCs w:val="24"/>
          <w:lang w:eastAsia="en-US"/>
        </w:rPr>
        <w:t>≥</w:t>
      </w:r>
      <w:r w:rsidRPr="00017D8F">
        <w:t>5g</w:t>
      </w:r>
      <w:r w:rsidRPr="00017D8F">
        <w:rPr>
          <w:rFonts w:cs="Arial"/>
          <w:bCs/>
          <w:lang w:val="en-US"/>
        </w:rPr>
        <w:t xml:space="preserve"> sodium benzoate</w:t>
      </w:r>
      <w:r>
        <w:rPr>
          <w:rFonts w:cs="Arial"/>
          <w:bCs/>
          <w:lang w:val="en-US"/>
        </w:rPr>
        <w:t xml:space="preserve"> per L matrix </w:t>
      </w:r>
      <w:r w:rsidRPr="00F053B3">
        <w:rPr>
          <w:rFonts w:eastAsia="Calibri"/>
          <w:iCs/>
          <w:szCs w:val="24"/>
          <w:lang w:eastAsia="en-US"/>
        </w:rPr>
        <w:t>and pH ≤ 5.</w:t>
      </w:r>
      <w:r>
        <w:rPr>
          <w:rFonts w:eastAsia="Calibri"/>
          <w:iCs/>
          <w:szCs w:val="24"/>
          <w:lang w:eastAsia="en-US"/>
        </w:rPr>
        <w:t>7</w:t>
      </w:r>
      <w:r w:rsidRPr="00F053B3">
        <w:rPr>
          <w:rFonts w:eastAsia="Calibri"/>
          <w:iCs/>
          <w:szCs w:val="24"/>
          <w:lang w:eastAsia="en-US"/>
        </w:rPr>
        <w:t>.</w:t>
      </w:r>
      <w:r>
        <w:rPr>
          <w:rFonts w:eastAsia="Calibri"/>
          <w:iCs/>
          <w:szCs w:val="24"/>
          <w:lang w:eastAsia="en-US"/>
        </w:rPr>
        <w:t xml:space="preserve"> </w:t>
      </w:r>
    </w:p>
    <w:p w14:paraId="274D33C3" w14:textId="77777777" w:rsidR="002453E4" w:rsidRDefault="002453E4" w:rsidP="00046EB4">
      <w:pPr>
        <w:spacing w:line="260" w:lineRule="atLeast"/>
        <w:ind w:firstLine="360"/>
        <w:rPr>
          <w:rFonts w:eastAsia="Calibri"/>
          <w:iCs/>
          <w:szCs w:val="24"/>
          <w:lang w:eastAsia="en-US"/>
        </w:rPr>
      </w:pPr>
      <w:r>
        <w:rPr>
          <w:rFonts w:eastAsia="Calibri"/>
          <w:iCs/>
          <w:szCs w:val="24"/>
          <w:lang w:eastAsia="en-US"/>
        </w:rPr>
        <w:t xml:space="preserve">The risk assessment for human health demonstrated </w:t>
      </w:r>
      <w:r w:rsidRPr="002453E4">
        <w:rPr>
          <w:rFonts w:eastAsia="Calibri"/>
          <w:iCs/>
          <w:szCs w:val="24"/>
          <w:lang w:eastAsia="en-US"/>
        </w:rPr>
        <w:t xml:space="preserve">no adverse effects </w:t>
      </w:r>
      <w:r>
        <w:rPr>
          <w:rFonts w:eastAsia="Calibri"/>
          <w:iCs/>
          <w:szCs w:val="24"/>
          <w:lang w:eastAsia="en-US"/>
        </w:rPr>
        <w:t xml:space="preserve">for </w:t>
      </w:r>
      <w:r w:rsidRPr="002453E4">
        <w:rPr>
          <w:rFonts w:eastAsia="Calibri"/>
          <w:iCs/>
          <w:szCs w:val="24"/>
          <w:lang w:eastAsia="en-US"/>
        </w:rPr>
        <w:t xml:space="preserve">protected industrial users (gloves, eye protection) from exposure to sodium benzoate during automated or manual addition of the product </w:t>
      </w:r>
      <w:proofErr w:type="spellStart"/>
      <w:r w:rsidRPr="002453E4">
        <w:rPr>
          <w:rFonts w:eastAsia="Calibri"/>
          <w:iCs/>
          <w:szCs w:val="24"/>
          <w:lang w:eastAsia="en-US"/>
        </w:rPr>
        <w:t>Kalaguard</w:t>
      </w:r>
      <w:proofErr w:type="spellEnd"/>
      <w:r w:rsidRPr="002453E4">
        <w:rPr>
          <w:rFonts w:eastAsia="Calibri"/>
          <w:iCs/>
          <w:szCs w:val="24"/>
          <w:lang w:eastAsia="en-US"/>
        </w:rPr>
        <w:t xml:space="preserve">® SB into the treated articles. </w:t>
      </w:r>
      <w:r>
        <w:rPr>
          <w:rFonts w:eastAsia="Calibri"/>
          <w:iCs/>
          <w:szCs w:val="24"/>
          <w:lang w:eastAsia="en-US"/>
        </w:rPr>
        <w:t>No adverse effects are expected for the unprotected professional users</w:t>
      </w:r>
      <w:r w:rsidRPr="002453E4">
        <w:t xml:space="preserve"> </w:t>
      </w:r>
      <w:r w:rsidRPr="002453E4">
        <w:rPr>
          <w:rFonts w:eastAsia="Calibri"/>
          <w:iCs/>
          <w:szCs w:val="24"/>
          <w:lang w:eastAsia="en-US"/>
        </w:rPr>
        <w:t>from exposure to sodium benzoate due to the use of treated articles preserved with the product, during loading of liquid laundry detergents into washing machines, mopping of the surfaces using a mop and a wringer bucket, wiping of the surfaces using a wrung cloth, and cleaning of the surfaces using a hand-held trigger spray</w:t>
      </w:r>
      <w:r>
        <w:rPr>
          <w:rFonts w:eastAsia="Calibri"/>
          <w:iCs/>
          <w:szCs w:val="24"/>
          <w:lang w:eastAsia="en-US"/>
        </w:rPr>
        <w:t xml:space="preserve"> or combined exposure. Furthermore, </w:t>
      </w:r>
      <w:r w:rsidRPr="002453E4">
        <w:rPr>
          <w:rFonts w:eastAsia="Calibri"/>
          <w:iCs/>
          <w:szCs w:val="24"/>
          <w:lang w:eastAsia="en-US"/>
        </w:rPr>
        <w:t>no adverse effects are expected for general public users from exposure to sodium benzoate due to the use of treated articles preserved with the product, during the use of dishwashing liquids, laundry detergents, and cleaners</w:t>
      </w:r>
      <w:r w:rsidRPr="002453E4">
        <w:t xml:space="preserve"> </w:t>
      </w:r>
      <w:r w:rsidRPr="002453E4">
        <w:rPr>
          <w:rFonts w:eastAsia="Calibri"/>
          <w:iCs/>
          <w:szCs w:val="24"/>
          <w:lang w:eastAsia="en-US"/>
        </w:rPr>
        <w:t>or combined exposure. No adverse effects are expected for general public, including children, from exposure to sodium benzoate residues on laundered clothes and on washed dinnerware</w:t>
      </w:r>
      <w:r w:rsidRPr="002453E4">
        <w:t xml:space="preserve"> </w:t>
      </w:r>
      <w:r w:rsidRPr="002453E4">
        <w:rPr>
          <w:rFonts w:eastAsia="Calibri"/>
          <w:iCs/>
          <w:szCs w:val="24"/>
          <w:lang w:eastAsia="en-US"/>
        </w:rPr>
        <w:t xml:space="preserve">or combined exposure.  </w:t>
      </w:r>
    </w:p>
    <w:p w14:paraId="57C7812D" w14:textId="77777777" w:rsidR="009B332A" w:rsidRDefault="00A123B9" w:rsidP="00046EB4">
      <w:pPr>
        <w:spacing w:line="260" w:lineRule="atLeast"/>
        <w:ind w:firstLine="360"/>
      </w:pPr>
      <w:r>
        <w:t xml:space="preserve">The risk assessment for the environment demonstrated an acceptable risk for all relevant </w:t>
      </w:r>
      <w:r w:rsidR="00882ABD">
        <w:t xml:space="preserve">environmental </w:t>
      </w:r>
      <w:r>
        <w:t xml:space="preserve">compartments. </w:t>
      </w:r>
      <w:r w:rsidRPr="00A123B9">
        <w:t>The PEC/PNEC</w:t>
      </w:r>
      <w:r>
        <w:t xml:space="preserve"> values were below the trigger value</w:t>
      </w:r>
      <w:r w:rsidRPr="00A123B9">
        <w:t>, based on aggregated exposure of all</w:t>
      </w:r>
      <w:r w:rsidR="00A653F4">
        <w:t xml:space="preserve"> </w:t>
      </w:r>
      <w:r w:rsidR="001158FA">
        <w:t>relevant</w:t>
      </w:r>
      <w:r w:rsidR="00A653F4">
        <w:t xml:space="preserve"> </w:t>
      </w:r>
      <w:r w:rsidRPr="00A123B9">
        <w:t>professional</w:t>
      </w:r>
      <w:r>
        <w:t xml:space="preserve"> and non-professional </w:t>
      </w:r>
      <w:r w:rsidR="004B6314">
        <w:t xml:space="preserve">emission </w:t>
      </w:r>
      <w:r w:rsidR="00A653F4">
        <w:t>scenarios</w:t>
      </w:r>
      <w:r w:rsidR="00785017">
        <w:t xml:space="preserve"> for</w:t>
      </w:r>
      <w:r w:rsidR="00882ABD">
        <w:t xml:space="preserve"> </w:t>
      </w:r>
      <w:r w:rsidR="00785017">
        <w:t>in-can preservation of</w:t>
      </w:r>
      <w:r w:rsidR="00785017" w:rsidRPr="00785017">
        <w:t xml:space="preserve"> dishwashing liquids, laundry liquids and cleaners</w:t>
      </w:r>
      <w:r w:rsidRPr="00A123B9">
        <w:t>.</w:t>
      </w:r>
    </w:p>
    <w:p w14:paraId="1BB3842D" w14:textId="77777777" w:rsidR="00CF59EF" w:rsidRPr="001026D5" w:rsidRDefault="009B332A" w:rsidP="004234C9">
      <w:pPr>
        <w:jc w:val="both"/>
      </w:pPr>
      <w:r>
        <w:t xml:space="preserve">The </w:t>
      </w:r>
      <w:proofErr w:type="spellStart"/>
      <w:r>
        <w:t>eCA</w:t>
      </w:r>
      <w:proofErr w:type="spellEnd"/>
      <w:r>
        <w:t xml:space="preserve"> concludes that the biocidal product fulfils the criteria of article 19(1) of Regulation (EU)528/2012 for granting an authorisation.</w:t>
      </w:r>
      <w:r w:rsidR="00EA6FAB">
        <w:t xml:space="preserve"> </w:t>
      </w:r>
      <w:r w:rsidR="008A6B70">
        <w:t>T</w:t>
      </w:r>
      <w:r w:rsidR="00EA6FAB">
        <w:t>o confirm a 2-year</w:t>
      </w:r>
      <w:r w:rsidR="008A6B70">
        <w:t>s</w:t>
      </w:r>
      <w:r w:rsidR="00EA6FAB">
        <w:t xml:space="preserve"> shelf-life of the product, </w:t>
      </w:r>
      <w:r w:rsidR="008A6B70">
        <w:t xml:space="preserve">real-time shelf-life data </w:t>
      </w:r>
      <w:r w:rsidR="00EA6FAB">
        <w:t>has to be provided by the applicant as soon as possible and no later than six months post-authorisation.</w:t>
      </w:r>
      <w:r w:rsidR="00A123B9" w:rsidRPr="00A123B9">
        <w:t xml:space="preserve"> </w:t>
      </w:r>
      <w:r w:rsidR="000B5D37">
        <w:br w:type="page"/>
      </w:r>
    </w:p>
    <w:p w14:paraId="50E26A3E" w14:textId="77777777" w:rsidR="00CF59EF" w:rsidRDefault="000B5D37" w:rsidP="00172945">
      <w:pPr>
        <w:pStyle w:val="Heading1"/>
        <w:numPr>
          <w:ilvl w:val="0"/>
          <w:numId w:val="2"/>
        </w:numPr>
        <w:rPr>
          <w:rFonts w:eastAsia="Calibri"/>
        </w:rPr>
      </w:pPr>
      <w:bookmarkStart w:id="3" w:name="_Toc389728850"/>
      <w:bookmarkStart w:id="4" w:name="_Toc531868618"/>
      <w:bookmarkEnd w:id="3"/>
      <w:r>
        <w:rPr>
          <w:rFonts w:eastAsia="Calibri"/>
        </w:rPr>
        <w:lastRenderedPageBreak/>
        <w:t>ASSESSMENT REPORT</w:t>
      </w:r>
      <w:bookmarkEnd w:id="4"/>
    </w:p>
    <w:p w14:paraId="1912B9B2" w14:textId="77777777" w:rsidR="00777276" w:rsidRDefault="000B5D37" w:rsidP="00777276">
      <w:pPr>
        <w:pStyle w:val="Heading2"/>
      </w:pPr>
      <w:bookmarkStart w:id="5" w:name="_Toc418784129"/>
      <w:bookmarkStart w:id="6" w:name="_Toc418784128"/>
      <w:bookmarkStart w:id="7" w:name="_Toc388281678"/>
      <w:bookmarkStart w:id="8" w:name="_Toc388281222"/>
      <w:bookmarkStart w:id="9" w:name="_Toc387250733"/>
      <w:bookmarkStart w:id="10" w:name="_Toc387244911"/>
      <w:bookmarkStart w:id="11" w:name="_Toc388281677"/>
      <w:bookmarkStart w:id="12" w:name="_Toc388281221"/>
      <w:bookmarkStart w:id="13" w:name="_Toc387250732"/>
      <w:bookmarkStart w:id="14" w:name="_Toc387244910"/>
      <w:bookmarkStart w:id="15" w:name="_Toc531868619"/>
      <w:bookmarkEnd w:id="5"/>
      <w:bookmarkEnd w:id="6"/>
      <w:bookmarkEnd w:id="7"/>
      <w:bookmarkEnd w:id="8"/>
      <w:bookmarkEnd w:id="9"/>
      <w:bookmarkEnd w:id="10"/>
      <w:bookmarkEnd w:id="11"/>
      <w:bookmarkEnd w:id="12"/>
      <w:bookmarkEnd w:id="13"/>
      <w:bookmarkEnd w:id="14"/>
      <w:r>
        <w:t>Summary of the product assessment</w:t>
      </w:r>
      <w:bookmarkEnd w:id="15"/>
      <w:r>
        <w:t xml:space="preserve"> </w:t>
      </w:r>
      <w:bookmarkStart w:id="16" w:name="_Toc366658839"/>
      <w:bookmarkEnd w:id="16"/>
    </w:p>
    <w:p w14:paraId="7E6AAE16" w14:textId="77777777" w:rsidR="00777276" w:rsidRDefault="00777276" w:rsidP="00172945">
      <w:pPr>
        <w:pStyle w:val="Heading2"/>
        <w:numPr>
          <w:ilvl w:val="2"/>
          <w:numId w:val="2"/>
        </w:numPr>
        <w:ind w:left="720"/>
      </w:pPr>
      <w:bookmarkStart w:id="17" w:name="_Toc531868620"/>
      <w:r>
        <w:t>Administrative information</w:t>
      </w:r>
      <w:bookmarkEnd w:id="17"/>
    </w:p>
    <w:p w14:paraId="5DA58CAF" w14:textId="77777777" w:rsidR="00CF59EF" w:rsidRPr="00777276" w:rsidRDefault="00777276" w:rsidP="00FD395A">
      <w:pPr>
        <w:pStyle w:val="Heading3"/>
      </w:pPr>
      <w:bookmarkStart w:id="18" w:name="d0e6"/>
      <w:bookmarkStart w:id="19" w:name="d0e7"/>
      <w:bookmarkStart w:id="20" w:name="d0e10"/>
      <w:bookmarkStart w:id="21" w:name="_Toc366658840"/>
      <w:bookmarkStart w:id="22" w:name="_Toc531868621"/>
      <w:bookmarkEnd w:id="18"/>
      <w:bookmarkEnd w:id="19"/>
      <w:r w:rsidRPr="00777276">
        <w:t xml:space="preserve">Identifier of </w:t>
      </w:r>
      <w:proofErr w:type="spellStart"/>
      <w:r w:rsidRPr="00777276">
        <w:t>the</w:t>
      </w:r>
      <w:proofErr w:type="spellEnd"/>
      <w:r w:rsidRPr="00777276">
        <w:t xml:space="preserve"> </w:t>
      </w:r>
      <w:proofErr w:type="spellStart"/>
      <w:r w:rsidRPr="00777276">
        <w:t>product</w:t>
      </w:r>
      <w:bookmarkEnd w:id="20"/>
      <w:bookmarkEnd w:id="21"/>
      <w:bookmarkEnd w:id="22"/>
      <w:proofErr w:type="spellEnd"/>
    </w:p>
    <w:tbl>
      <w:tblPr>
        <w:tblW w:w="9067"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70"/>
      </w:tblGrid>
      <w:tr w:rsidR="00CF59EF" w14:paraId="5B581CDA" w14:textId="77777777" w:rsidTr="00EB287D">
        <w:trPr>
          <w:tblHeader/>
        </w:trPr>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3312F7CE" w14:textId="77777777" w:rsidR="00CF59EF" w:rsidRDefault="000B5D37">
            <w:r>
              <w:rPr>
                <w:b/>
                <w:bCs/>
                <w:szCs w:val="24"/>
                <w:lang w:eastAsia="en-GB"/>
              </w:rPr>
              <w:t>Identifier</w:t>
            </w:r>
            <w:r>
              <w:rPr>
                <w:rStyle w:val="Voetnootanker"/>
                <w:b/>
                <w:bCs/>
                <w:szCs w:val="24"/>
                <w:lang w:eastAsia="en-GB"/>
              </w:rPr>
              <w:footnoteReference w:id="1"/>
            </w:r>
          </w:p>
        </w:tc>
        <w:tc>
          <w:tcPr>
            <w:tcW w:w="5670" w:type="dxa"/>
            <w:tcBorders>
              <w:top w:val="single" w:sz="4" w:space="0" w:color="000001"/>
              <w:bottom w:val="single" w:sz="4" w:space="0" w:color="000001"/>
              <w:right w:val="single" w:sz="4" w:space="0" w:color="000001"/>
            </w:tcBorders>
            <w:shd w:val="clear" w:color="auto" w:fill="auto"/>
          </w:tcPr>
          <w:p w14:paraId="79B978B1" w14:textId="77777777" w:rsidR="00CF59EF" w:rsidRDefault="000B5D37">
            <w:r>
              <w:rPr>
                <w:b/>
                <w:bCs/>
                <w:szCs w:val="24"/>
                <w:lang w:eastAsia="en-GB"/>
              </w:rPr>
              <w:t>Country (if relevant)</w:t>
            </w:r>
          </w:p>
        </w:tc>
      </w:tr>
      <w:tr w:rsidR="00CF59EF" w14:paraId="6EDC05DB" w14:textId="77777777"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14:paraId="5E57CF74" w14:textId="77777777" w:rsidR="00A90C35" w:rsidRDefault="00A90C35">
            <w:r>
              <w:t xml:space="preserve">Product name: </w:t>
            </w:r>
            <w:proofErr w:type="spellStart"/>
            <w:r>
              <w:t>Purox</w:t>
            </w:r>
            <w:proofErr w:type="spellEnd"/>
            <w:r w:rsidR="006A6E77">
              <w:rPr>
                <w:vertAlign w:val="superscript"/>
              </w:rPr>
              <w:t>®</w:t>
            </w:r>
            <w:r>
              <w:t xml:space="preserve"> Clean</w:t>
            </w:r>
          </w:p>
          <w:p w14:paraId="69BE836F" w14:textId="77777777" w:rsidR="00CF59EF" w:rsidRDefault="00CF59EF"/>
        </w:tc>
        <w:tc>
          <w:tcPr>
            <w:tcW w:w="5670" w:type="dxa"/>
            <w:tcBorders>
              <w:bottom w:val="single" w:sz="4" w:space="0" w:color="000001"/>
              <w:right w:val="single" w:sz="4" w:space="0" w:color="000001"/>
            </w:tcBorders>
            <w:shd w:val="clear" w:color="auto" w:fill="auto"/>
          </w:tcPr>
          <w:p w14:paraId="4CC5218D" w14:textId="77777777" w:rsidR="00A90C35" w:rsidRDefault="00030391">
            <w:r>
              <w:t>The Netherlands</w:t>
            </w:r>
            <w:r w:rsidR="00A90C35">
              <w:t xml:space="preserve"> </w:t>
            </w:r>
          </w:p>
          <w:p w14:paraId="41A4EB19" w14:textId="77777777" w:rsidR="00CF59EF" w:rsidRDefault="00A90C35">
            <w:r>
              <w:t xml:space="preserve">Trade  name: </w:t>
            </w:r>
            <w:proofErr w:type="spellStart"/>
            <w:r>
              <w:t>Kalaguard</w:t>
            </w:r>
            <w:proofErr w:type="spellEnd"/>
            <w:r>
              <w:rPr>
                <w:vertAlign w:val="superscript"/>
              </w:rPr>
              <w:t>®</w:t>
            </w:r>
            <w:r>
              <w:t xml:space="preserve"> SB</w:t>
            </w:r>
          </w:p>
        </w:tc>
      </w:tr>
    </w:tbl>
    <w:p w14:paraId="09D9925B" w14:textId="77777777" w:rsidR="00EB287D" w:rsidRDefault="00EB287D" w:rsidP="00EB287D"/>
    <w:p w14:paraId="7AD060D5" w14:textId="77777777" w:rsidR="00CF59EF" w:rsidRPr="00777276" w:rsidRDefault="000B5D37" w:rsidP="00FD395A">
      <w:pPr>
        <w:pStyle w:val="Heading3"/>
      </w:pPr>
      <w:bookmarkStart w:id="23" w:name="_Toc531868622"/>
      <w:r w:rsidRPr="00777276">
        <w:t>Authorisation holder</w:t>
      </w:r>
      <w:bookmarkEnd w:id="23"/>
    </w:p>
    <w:tbl>
      <w:tblPr>
        <w:tblW w:w="9025" w:type="dxa"/>
        <w:tblInd w:w="85" w:type="dxa"/>
        <w:tblBorders>
          <w:top w:val="single" w:sz="4" w:space="0" w:color="000001"/>
          <w:left w:val="single" w:sz="4" w:space="0" w:color="000001"/>
          <w:right w:val="single" w:sz="4" w:space="0" w:color="000001"/>
          <w:insideV w:val="single" w:sz="4" w:space="0" w:color="000001"/>
        </w:tblBorders>
        <w:tblCellMar>
          <w:top w:w="40" w:type="dxa"/>
          <w:left w:w="35" w:type="dxa"/>
          <w:right w:w="40" w:type="dxa"/>
        </w:tblCellMar>
        <w:tblLook w:val="0000" w:firstRow="0" w:lastRow="0" w:firstColumn="0" w:lastColumn="0" w:noHBand="0" w:noVBand="0"/>
      </w:tblPr>
      <w:tblGrid>
        <w:gridCol w:w="3397"/>
        <w:gridCol w:w="1115"/>
        <w:gridCol w:w="4513"/>
      </w:tblGrid>
      <w:tr w:rsidR="00CF59EF" w14:paraId="5FFA6ECD" w14:textId="77777777">
        <w:tc>
          <w:tcPr>
            <w:tcW w:w="3397" w:type="dxa"/>
            <w:vMerge w:val="restart"/>
            <w:tcBorders>
              <w:top w:val="single" w:sz="4" w:space="0" w:color="000001"/>
              <w:left w:val="single" w:sz="4" w:space="0" w:color="000001"/>
              <w:right w:val="single" w:sz="4" w:space="0" w:color="000001"/>
            </w:tcBorders>
            <w:shd w:val="clear" w:color="auto" w:fill="auto"/>
            <w:tcMar>
              <w:left w:w="35" w:type="dxa"/>
            </w:tcMar>
          </w:tcPr>
          <w:p w14:paraId="271FB8ED" w14:textId="77777777" w:rsidR="00CF59EF" w:rsidRDefault="000B5D37">
            <w:pPr>
              <w:rPr>
                <w:b/>
              </w:rPr>
            </w:pPr>
            <w:r>
              <w:rPr>
                <w:b/>
                <w:bCs/>
                <w:color w:val="000000"/>
                <w:szCs w:val="24"/>
                <w:lang w:eastAsia="en-GB"/>
              </w:rPr>
              <w:t>Name and address of the authorisation holder</w:t>
            </w:r>
          </w:p>
        </w:tc>
        <w:tc>
          <w:tcPr>
            <w:tcW w:w="1115" w:type="dxa"/>
            <w:tcBorders>
              <w:top w:val="single" w:sz="4" w:space="0" w:color="000001"/>
              <w:bottom w:val="single" w:sz="4" w:space="0" w:color="000001"/>
              <w:right w:val="single" w:sz="4" w:space="0" w:color="000001"/>
            </w:tcBorders>
            <w:shd w:val="clear" w:color="auto" w:fill="auto"/>
            <w:tcMar>
              <w:bottom w:w="40" w:type="dxa"/>
            </w:tcMar>
          </w:tcPr>
          <w:p w14:paraId="07062528" w14:textId="77777777" w:rsidR="00CF59EF" w:rsidRDefault="000B5D37">
            <w:pPr>
              <w:rPr>
                <w:b/>
              </w:rPr>
            </w:pPr>
            <w:r>
              <w:rPr>
                <w:b/>
              </w:rPr>
              <w:t>Name</w:t>
            </w:r>
          </w:p>
        </w:tc>
        <w:tc>
          <w:tcPr>
            <w:tcW w:w="4513" w:type="dxa"/>
            <w:tcBorders>
              <w:top w:val="single" w:sz="4" w:space="0" w:color="000001"/>
              <w:bottom w:val="single" w:sz="4" w:space="0" w:color="000001"/>
              <w:right w:val="single" w:sz="4" w:space="0" w:color="000001"/>
            </w:tcBorders>
            <w:shd w:val="clear" w:color="auto" w:fill="auto"/>
            <w:tcMar>
              <w:bottom w:w="40" w:type="dxa"/>
            </w:tcMar>
          </w:tcPr>
          <w:p w14:paraId="11CC26D5" w14:textId="77777777" w:rsidR="00CF59EF" w:rsidRDefault="000B5D37">
            <w:bookmarkStart w:id="24" w:name="d0e66"/>
            <w:bookmarkEnd w:id="24"/>
            <w:r>
              <w:t>Emerald Kalama Chemical B.V.</w:t>
            </w:r>
          </w:p>
        </w:tc>
      </w:tr>
      <w:tr w:rsidR="00CF59EF" w:rsidRPr="001C3241" w14:paraId="7AC92A15" w14:textId="77777777">
        <w:tc>
          <w:tcPr>
            <w:tcW w:w="3397" w:type="dxa"/>
            <w:vMerge/>
            <w:tcBorders>
              <w:left w:val="single" w:sz="4" w:space="0" w:color="000001"/>
              <w:bottom w:val="single" w:sz="4" w:space="0" w:color="000001"/>
              <w:right w:val="single" w:sz="4" w:space="0" w:color="000001"/>
            </w:tcBorders>
            <w:shd w:val="clear" w:color="auto" w:fill="auto"/>
            <w:tcMar>
              <w:top w:w="0" w:type="dxa"/>
              <w:left w:w="35" w:type="dxa"/>
              <w:bottom w:w="40" w:type="dxa"/>
            </w:tcMar>
          </w:tcPr>
          <w:p w14:paraId="25799BDF" w14:textId="77777777" w:rsidR="00CF59EF" w:rsidRDefault="00CF59EF">
            <w:pPr>
              <w:pStyle w:val="Special"/>
              <w:rPr>
                <w:b/>
              </w:rPr>
            </w:pPr>
          </w:p>
        </w:tc>
        <w:tc>
          <w:tcPr>
            <w:tcW w:w="1115" w:type="dxa"/>
            <w:tcBorders>
              <w:bottom w:val="single" w:sz="4" w:space="0" w:color="000001"/>
              <w:right w:val="single" w:sz="4" w:space="0" w:color="000001"/>
            </w:tcBorders>
            <w:shd w:val="clear" w:color="auto" w:fill="auto"/>
            <w:tcMar>
              <w:bottom w:w="40" w:type="dxa"/>
            </w:tcMar>
          </w:tcPr>
          <w:p w14:paraId="455D74FB" w14:textId="77777777" w:rsidR="00CF59EF" w:rsidRDefault="000B5D37">
            <w:pPr>
              <w:rPr>
                <w:b/>
              </w:rPr>
            </w:pPr>
            <w:r>
              <w:rPr>
                <w:b/>
              </w:rPr>
              <w:t>Address</w:t>
            </w:r>
          </w:p>
        </w:tc>
        <w:tc>
          <w:tcPr>
            <w:tcW w:w="4513" w:type="dxa"/>
            <w:tcBorders>
              <w:bottom w:val="single" w:sz="4" w:space="0" w:color="000001"/>
              <w:right w:val="single" w:sz="4" w:space="0" w:color="000001"/>
            </w:tcBorders>
            <w:shd w:val="clear" w:color="auto" w:fill="auto"/>
            <w:tcMar>
              <w:bottom w:w="40" w:type="dxa"/>
            </w:tcMar>
          </w:tcPr>
          <w:p w14:paraId="2D5D9927" w14:textId="77777777" w:rsidR="00CF59EF" w:rsidRPr="001C3241" w:rsidRDefault="001C3241" w:rsidP="001C3241">
            <w:pPr>
              <w:rPr>
                <w:lang w:val="en-US"/>
              </w:rPr>
            </w:pPr>
            <w:proofErr w:type="spellStart"/>
            <w:r>
              <w:t>Montrealweg</w:t>
            </w:r>
            <w:proofErr w:type="spellEnd"/>
            <w:r>
              <w:t xml:space="preserve"> 15</w:t>
            </w:r>
            <w:r w:rsidR="000B5D37" w:rsidRPr="001C3241">
              <w:rPr>
                <w:lang w:val="en-US"/>
              </w:rPr>
              <w:t xml:space="preserve">, </w:t>
            </w:r>
            <w:r>
              <w:rPr>
                <w:color w:val="362B36"/>
              </w:rPr>
              <w:t>3197 KH</w:t>
            </w:r>
            <w:r w:rsidR="000B5D37" w:rsidRPr="001C3241">
              <w:rPr>
                <w:lang w:val="en-US"/>
              </w:rPr>
              <w:t xml:space="preserve"> </w:t>
            </w:r>
            <w:r w:rsidRPr="001C3241">
              <w:rPr>
                <w:lang w:val="en-US"/>
              </w:rPr>
              <w:t>Rotterdam</w:t>
            </w:r>
            <w:r w:rsidR="000B5D37" w:rsidRPr="001C3241">
              <w:rPr>
                <w:lang w:val="en-US"/>
              </w:rPr>
              <w:t xml:space="preserve">, </w:t>
            </w:r>
            <w:r w:rsidR="00F54C5A" w:rsidRPr="001C3241">
              <w:rPr>
                <w:lang w:val="en-US"/>
              </w:rPr>
              <w:t xml:space="preserve">The </w:t>
            </w:r>
            <w:r w:rsidR="000B5D37" w:rsidRPr="001C3241">
              <w:rPr>
                <w:lang w:val="en-US"/>
              </w:rPr>
              <w:t>Netherlands</w:t>
            </w:r>
          </w:p>
        </w:tc>
      </w:tr>
      <w:tr w:rsidR="00CF59EF" w14:paraId="212A4060" w14:textId="77777777">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14:paraId="12605B52" w14:textId="77777777" w:rsidR="00CF59EF" w:rsidRDefault="000B5D37">
            <w:pPr>
              <w:rPr>
                <w:b/>
              </w:rPr>
            </w:pPr>
            <w:r>
              <w:rPr>
                <w:b/>
                <w:bCs/>
                <w:color w:val="000000"/>
                <w:szCs w:val="24"/>
                <w:lang w:eastAsia="en-GB"/>
              </w:rPr>
              <w:t>Authorisation number</w:t>
            </w:r>
          </w:p>
        </w:tc>
        <w:tc>
          <w:tcPr>
            <w:tcW w:w="5628" w:type="dxa"/>
            <w:gridSpan w:val="2"/>
            <w:tcBorders>
              <w:bottom w:val="single" w:sz="4" w:space="0" w:color="000001"/>
              <w:right w:val="single" w:sz="4" w:space="0" w:color="000001"/>
            </w:tcBorders>
            <w:shd w:val="clear" w:color="auto" w:fill="auto"/>
            <w:tcMar>
              <w:bottom w:w="40" w:type="dxa"/>
            </w:tcMar>
          </w:tcPr>
          <w:p w14:paraId="159C1DA7" w14:textId="77777777" w:rsidR="00CF59EF" w:rsidRDefault="006F3719">
            <w:r w:rsidRPr="00C800FD">
              <w:rPr>
                <w:sz w:val="18"/>
                <w:szCs w:val="18"/>
              </w:rPr>
              <w:t>NL-0018125-0000</w:t>
            </w:r>
          </w:p>
        </w:tc>
      </w:tr>
      <w:tr w:rsidR="00CF59EF" w14:paraId="19ECDBD3" w14:textId="77777777">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14:paraId="6CF458E5" w14:textId="77777777" w:rsidR="00CF59EF" w:rsidRDefault="000B5D37">
            <w:pPr>
              <w:rPr>
                <w:b/>
              </w:rPr>
            </w:pPr>
            <w:r>
              <w:rPr>
                <w:b/>
                <w:bCs/>
                <w:color w:val="000000"/>
                <w:szCs w:val="24"/>
                <w:lang w:eastAsia="en-GB"/>
              </w:rPr>
              <w:t>Date of the authorisation</w:t>
            </w:r>
          </w:p>
        </w:tc>
        <w:tc>
          <w:tcPr>
            <w:tcW w:w="5628" w:type="dxa"/>
            <w:gridSpan w:val="2"/>
            <w:tcBorders>
              <w:bottom w:val="single" w:sz="4" w:space="0" w:color="000001"/>
              <w:right w:val="single" w:sz="4" w:space="0" w:color="000001"/>
            </w:tcBorders>
            <w:shd w:val="clear" w:color="auto" w:fill="auto"/>
            <w:tcMar>
              <w:bottom w:w="40" w:type="dxa"/>
            </w:tcMar>
          </w:tcPr>
          <w:p w14:paraId="750347F8" w14:textId="77777777" w:rsidR="00CF59EF" w:rsidRDefault="006F3719">
            <w:r>
              <w:t>2 August 2019</w:t>
            </w:r>
          </w:p>
        </w:tc>
      </w:tr>
      <w:tr w:rsidR="00CF59EF" w14:paraId="42014B09" w14:textId="77777777">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14:paraId="2EB9E254" w14:textId="77777777" w:rsidR="00CF59EF" w:rsidRDefault="000B5D37">
            <w:pPr>
              <w:rPr>
                <w:b/>
              </w:rPr>
            </w:pPr>
            <w:r>
              <w:rPr>
                <w:b/>
                <w:bCs/>
                <w:color w:val="000000"/>
                <w:szCs w:val="24"/>
                <w:lang w:eastAsia="en-GB"/>
              </w:rPr>
              <w:t>Expiry date of the authorisation</w:t>
            </w:r>
          </w:p>
        </w:tc>
        <w:tc>
          <w:tcPr>
            <w:tcW w:w="5628" w:type="dxa"/>
            <w:gridSpan w:val="2"/>
            <w:tcBorders>
              <w:bottom w:val="single" w:sz="4" w:space="0" w:color="000001"/>
              <w:right w:val="single" w:sz="4" w:space="0" w:color="000001"/>
            </w:tcBorders>
            <w:shd w:val="clear" w:color="auto" w:fill="auto"/>
            <w:tcMar>
              <w:bottom w:w="40" w:type="dxa"/>
            </w:tcMar>
          </w:tcPr>
          <w:p w14:paraId="2C2C7E98" w14:textId="77777777" w:rsidR="00CF59EF" w:rsidRDefault="006F3719">
            <w:r>
              <w:t>1 August 2029</w:t>
            </w:r>
          </w:p>
        </w:tc>
      </w:tr>
    </w:tbl>
    <w:p w14:paraId="46A86C7D" w14:textId="77777777" w:rsidR="00EB287D" w:rsidRDefault="00EB287D" w:rsidP="00EB287D">
      <w:bookmarkStart w:id="25" w:name="d0e146"/>
      <w:bookmarkStart w:id="26" w:name="_Toc366658842"/>
      <w:bookmarkEnd w:id="25"/>
      <w:bookmarkEnd w:id="26"/>
    </w:p>
    <w:p w14:paraId="4656D78B" w14:textId="77777777" w:rsidR="00CF59EF" w:rsidRPr="00EB287D" w:rsidRDefault="00CD3957" w:rsidP="00FD395A">
      <w:pPr>
        <w:pStyle w:val="Heading3"/>
        <w:rPr>
          <w:lang w:val="en-US"/>
        </w:rPr>
      </w:pPr>
      <w:bookmarkStart w:id="27" w:name="_Toc531868623"/>
      <w:r w:rsidRPr="00EB287D">
        <w:rPr>
          <w:lang w:val="en-US"/>
        </w:rPr>
        <w:t>Manufacturer</w:t>
      </w:r>
      <w:r w:rsidR="000B5D37" w:rsidRPr="00EB287D">
        <w:rPr>
          <w:lang w:val="en-US"/>
        </w:rPr>
        <w:t xml:space="preserve"> of the </w:t>
      </w:r>
      <w:r w:rsidRPr="00EB287D">
        <w:rPr>
          <w:lang w:val="en-US"/>
        </w:rPr>
        <w:t xml:space="preserve">biocidal </w:t>
      </w:r>
      <w:r w:rsidR="000B5D37" w:rsidRPr="00EB287D">
        <w:rPr>
          <w:lang w:val="en-US"/>
        </w:rPr>
        <w:t>product</w:t>
      </w:r>
      <w:bookmarkEnd w:id="27"/>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28"/>
      </w:tblGrid>
      <w:tr w:rsidR="00CF59EF" w14:paraId="1623A2E3" w14:textId="77777777" w:rsidTr="00EB287D">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0C97CB10" w14:textId="77777777" w:rsidR="00CF59EF" w:rsidRDefault="000B5D37">
            <w:pPr>
              <w:rPr>
                <w:b/>
              </w:rPr>
            </w:pPr>
            <w:r>
              <w:rPr>
                <w:b/>
                <w:bCs/>
                <w:color w:val="000000"/>
                <w:szCs w:val="24"/>
                <w:lang w:eastAsia="en-GB"/>
              </w:rPr>
              <w:t>Name of manufacturer</w:t>
            </w:r>
          </w:p>
        </w:tc>
        <w:tc>
          <w:tcPr>
            <w:tcW w:w="5628" w:type="dxa"/>
            <w:tcBorders>
              <w:top w:val="single" w:sz="4" w:space="0" w:color="000001"/>
              <w:bottom w:val="single" w:sz="4" w:space="0" w:color="000001"/>
              <w:right w:val="single" w:sz="4" w:space="0" w:color="000001"/>
            </w:tcBorders>
            <w:shd w:val="clear" w:color="auto" w:fill="auto"/>
          </w:tcPr>
          <w:p w14:paraId="3655D6F1" w14:textId="77777777" w:rsidR="00CF59EF" w:rsidRDefault="000B5D37">
            <w:r>
              <w:t>Emerald Kalama Chemical B.V.</w:t>
            </w:r>
          </w:p>
        </w:tc>
      </w:tr>
      <w:tr w:rsidR="00CF59EF" w:rsidRPr="00E1557F" w14:paraId="2D60849F" w14:textId="77777777"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14:paraId="702C8EF1" w14:textId="77777777" w:rsidR="00CF59EF" w:rsidRDefault="000B5D37">
            <w:pPr>
              <w:rPr>
                <w:b/>
              </w:rPr>
            </w:pPr>
            <w:r>
              <w:rPr>
                <w:b/>
                <w:bCs/>
                <w:color w:val="000000"/>
                <w:szCs w:val="24"/>
                <w:lang w:eastAsia="en-GB"/>
              </w:rPr>
              <w:t>Address of manufacturer</w:t>
            </w:r>
          </w:p>
        </w:tc>
        <w:tc>
          <w:tcPr>
            <w:tcW w:w="5628" w:type="dxa"/>
            <w:tcBorders>
              <w:bottom w:val="single" w:sz="4" w:space="0" w:color="000001"/>
              <w:right w:val="single" w:sz="4" w:space="0" w:color="000001"/>
            </w:tcBorders>
            <w:shd w:val="clear" w:color="auto" w:fill="auto"/>
          </w:tcPr>
          <w:p w14:paraId="7874A164" w14:textId="7DB05A69" w:rsidR="00CF59EF" w:rsidRPr="00B94FE0" w:rsidRDefault="00AF2DBA">
            <w:pPr>
              <w:rPr>
                <w:lang w:val="en-US"/>
              </w:rPr>
            </w:pPr>
            <w:proofErr w:type="spellStart"/>
            <w:r>
              <w:rPr>
                <w:lang w:val="en-US"/>
              </w:rPr>
              <w:t>Montrealweg</w:t>
            </w:r>
            <w:proofErr w:type="spellEnd"/>
            <w:r>
              <w:rPr>
                <w:lang w:val="en-US"/>
              </w:rPr>
              <w:t xml:space="preserve"> 15</w:t>
            </w:r>
            <w:r w:rsidR="00B94FE0">
              <w:rPr>
                <w:lang w:val="en-US"/>
              </w:rPr>
              <w:t xml:space="preserve">, </w:t>
            </w:r>
            <w:r>
              <w:rPr>
                <w:lang w:val="en-US"/>
              </w:rPr>
              <w:t>3197 KH Rotterdam</w:t>
            </w:r>
            <w:r w:rsidR="00B94FE0">
              <w:rPr>
                <w:lang w:val="en-US"/>
              </w:rPr>
              <w:t>,</w:t>
            </w:r>
            <w:r>
              <w:rPr>
                <w:lang w:val="en-US"/>
              </w:rPr>
              <w:t xml:space="preserve"> </w:t>
            </w:r>
            <w:r w:rsidR="00B94FE0">
              <w:rPr>
                <w:lang w:val="en-US"/>
              </w:rPr>
              <w:t xml:space="preserve">The </w:t>
            </w:r>
            <w:r>
              <w:rPr>
                <w:lang w:val="en-US"/>
              </w:rPr>
              <w:t xml:space="preserve">Netherlands </w:t>
            </w:r>
          </w:p>
        </w:tc>
      </w:tr>
      <w:tr w:rsidR="00CF59EF" w14:paraId="797EA34E" w14:textId="77777777"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14:paraId="6ACC9503" w14:textId="77777777" w:rsidR="00CF59EF" w:rsidRDefault="000B5D37">
            <w:pPr>
              <w:rPr>
                <w:b/>
              </w:rPr>
            </w:pPr>
            <w:r>
              <w:rPr>
                <w:b/>
                <w:bCs/>
                <w:color w:val="000000"/>
                <w:szCs w:val="24"/>
                <w:lang w:eastAsia="en-GB"/>
              </w:rPr>
              <w:t>Location of manufacturing sites</w:t>
            </w:r>
          </w:p>
        </w:tc>
        <w:tc>
          <w:tcPr>
            <w:tcW w:w="5628" w:type="dxa"/>
            <w:tcBorders>
              <w:bottom w:val="single" w:sz="4" w:space="0" w:color="000001"/>
              <w:right w:val="single" w:sz="4" w:space="0" w:color="000001"/>
            </w:tcBorders>
            <w:shd w:val="clear" w:color="auto" w:fill="auto"/>
          </w:tcPr>
          <w:p w14:paraId="457D7858" w14:textId="77777777" w:rsidR="00CF59EF" w:rsidRDefault="000B5D37">
            <w:proofErr w:type="spellStart"/>
            <w:r>
              <w:t>Montrealweg</w:t>
            </w:r>
            <w:proofErr w:type="spellEnd"/>
            <w:r>
              <w:t xml:space="preserve"> 15, 3197 KH Rotterdam, </w:t>
            </w:r>
            <w:r w:rsidR="00F54C5A">
              <w:t xml:space="preserve">The </w:t>
            </w:r>
            <w:r>
              <w:t>Netherlands</w:t>
            </w:r>
          </w:p>
        </w:tc>
      </w:tr>
    </w:tbl>
    <w:p w14:paraId="0A4BD14A" w14:textId="77777777" w:rsidR="00EB287D" w:rsidRDefault="00EB287D" w:rsidP="00EB287D">
      <w:bookmarkStart w:id="28" w:name="_Toc366658843"/>
      <w:bookmarkEnd w:id="28"/>
    </w:p>
    <w:p w14:paraId="19A8B15E" w14:textId="77777777" w:rsidR="00CF59EF" w:rsidRPr="00EB287D" w:rsidRDefault="00CD3957" w:rsidP="00FD395A">
      <w:pPr>
        <w:pStyle w:val="Heading3"/>
        <w:rPr>
          <w:lang w:val="en-US"/>
        </w:rPr>
      </w:pPr>
      <w:bookmarkStart w:id="29" w:name="_Toc531868624"/>
      <w:r w:rsidRPr="00EB287D">
        <w:rPr>
          <w:lang w:val="en-US"/>
        </w:rPr>
        <w:t>Manufacturer</w:t>
      </w:r>
      <w:r w:rsidR="000B5D37" w:rsidRPr="00EB287D">
        <w:rPr>
          <w:lang w:val="en-US"/>
        </w:rPr>
        <w:t xml:space="preserve"> of the active substance</w:t>
      </w:r>
      <w:bookmarkEnd w:id="29"/>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28"/>
      </w:tblGrid>
      <w:tr w:rsidR="00CF59EF" w14:paraId="0EB3A041" w14:textId="77777777" w:rsidTr="00E03AD2">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7A92070" w14:textId="77777777" w:rsidR="00CF59EF" w:rsidRDefault="000B5D37">
            <w:pPr>
              <w:rPr>
                <w:b/>
              </w:rPr>
            </w:pPr>
            <w:r>
              <w:rPr>
                <w:b/>
                <w:bCs/>
                <w:color w:val="000000"/>
                <w:szCs w:val="24"/>
                <w:lang w:eastAsia="en-GB"/>
              </w:rPr>
              <w:t>Active substance</w:t>
            </w:r>
          </w:p>
        </w:tc>
        <w:tc>
          <w:tcPr>
            <w:tcW w:w="5628" w:type="dxa"/>
            <w:tcBorders>
              <w:top w:val="single" w:sz="4" w:space="0" w:color="000001"/>
              <w:bottom w:val="single" w:sz="4" w:space="0" w:color="000001"/>
              <w:right w:val="single" w:sz="4" w:space="0" w:color="000001"/>
            </w:tcBorders>
            <w:shd w:val="clear" w:color="auto" w:fill="auto"/>
          </w:tcPr>
          <w:p w14:paraId="2E4E58DB" w14:textId="77777777" w:rsidR="00CF59EF" w:rsidRDefault="000B5D37">
            <w:bookmarkStart w:id="30" w:name="d0e246"/>
            <w:bookmarkEnd w:id="30"/>
            <w:r>
              <w:t>Sodium benzoate</w:t>
            </w:r>
          </w:p>
        </w:tc>
      </w:tr>
      <w:tr w:rsidR="00CF59EF" w14:paraId="61E3F413" w14:textId="77777777"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14:paraId="1C179729" w14:textId="77777777" w:rsidR="00CF59EF" w:rsidRDefault="000B5D37">
            <w:pPr>
              <w:rPr>
                <w:b/>
              </w:rPr>
            </w:pPr>
            <w:r>
              <w:rPr>
                <w:b/>
                <w:bCs/>
                <w:color w:val="000000"/>
                <w:szCs w:val="24"/>
                <w:lang w:eastAsia="en-GB"/>
              </w:rPr>
              <w:t>Name of manufacturer</w:t>
            </w:r>
          </w:p>
        </w:tc>
        <w:tc>
          <w:tcPr>
            <w:tcW w:w="5628" w:type="dxa"/>
            <w:tcBorders>
              <w:bottom w:val="single" w:sz="4" w:space="0" w:color="000001"/>
              <w:right w:val="single" w:sz="4" w:space="0" w:color="000001"/>
            </w:tcBorders>
            <w:shd w:val="clear" w:color="auto" w:fill="auto"/>
          </w:tcPr>
          <w:p w14:paraId="500EC68D" w14:textId="77777777" w:rsidR="00CF59EF" w:rsidRDefault="000B5D37">
            <w:r>
              <w:t>Emerald Kalama Chemical B.V.</w:t>
            </w:r>
          </w:p>
        </w:tc>
      </w:tr>
      <w:tr w:rsidR="00CF59EF" w:rsidRPr="00AF2DBA" w14:paraId="0AB756B9" w14:textId="77777777"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14:paraId="0117697A" w14:textId="77777777" w:rsidR="00CF59EF" w:rsidRDefault="000B5D37">
            <w:pPr>
              <w:rPr>
                <w:b/>
              </w:rPr>
            </w:pPr>
            <w:r>
              <w:rPr>
                <w:b/>
                <w:bCs/>
                <w:color w:val="000000"/>
                <w:szCs w:val="24"/>
                <w:lang w:eastAsia="en-GB"/>
              </w:rPr>
              <w:t>Address of manufacturer</w:t>
            </w:r>
          </w:p>
        </w:tc>
        <w:tc>
          <w:tcPr>
            <w:tcW w:w="5628" w:type="dxa"/>
            <w:tcBorders>
              <w:bottom w:val="single" w:sz="4" w:space="0" w:color="000001"/>
              <w:right w:val="single" w:sz="4" w:space="0" w:color="000001"/>
            </w:tcBorders>
            <w:shd w:val="clear" w:color="auto" w:fill="auto"/>
          </w:tcPr>
          <w:p w14:paraId="7A36285C" w14:textId="731D94B1" w:rsidR="00CF59EF" w:rsidRPr="00B94FE0" w:rsidRDefault="004D07C9">
            <w:pPr>
              <w:rPr>
                <w:lang w:val="en-US"/>
              </w:rPr>
            </w:pPr>
            <w:bookmarkStart w:id="31" w:name="d0e269"/>
            <w:bookmarkEnd w:id="31"/>
            <w:proofErr w:type="spellStart"/>
            <w:r>
              <w:rPr>
                <w:lang w:val="en-US"/>
              </w:rPr>
              <w:t>Montrealweg</w:t>
            </w:r>
            <w:proofErr w:type="spellEnd"/>
            <w:r>
              <w:rPr>
                <w:lang w:val="en-US"/>
              </w:rPr>
              <w:t xml:space="preserve"> 15</w:t>
            </w:r>
            <w:r w:rsidR="00B94FE0">
              <w:rPr>
                <w:lang w:val="en-US"/>
              </w:rPr>
              <w:t>,</w:t>
            </w:r>
            <w:r w:rsidR="00F03A9C">
              <w:rPr>
                <w:lang w:val="en-US"/>
              </w:rPr>
              <w:t xml:space="preserve"> </w:t>
            </w:r>
            <w:r>
              <w:rPr>
                <w:lang w:val="en-US"/>
              </w:rPr>
              <w:t>3197 KH Rotterdam</w:t>
            </w:r>
            <w:r w:rsidR="00B94FE0">
              <w:rPr>
                <w:lang w:val="en-US"/>
              </w:rPr>
              <w:t>,</w:t>
            </w:r>
            <w:r>
              <w:rPr>
                <w:lang w:val="en-US"/>
              </w:rPr>
              <w:t xml:space="preserve"> </w:t>
            </w:r>
            <w:r w:rsidR="00B94FE0">
              <w:rPr>
                <w:lang w:val="en-US"/>
              </w:rPr>
              <w:t xml:space="preserve">The </w:t>
            </w:r>
            <w:r>
              <w:rPr>
                <w:lang w:val="en-US"/>
              </w:rPr>
              <w:t xml:space="preserve">Netherlands </w:t>
            </w:r>
          </w:p>
        </w:tc>
      </w:tr>
      <w:tr w:rsidR="00CF59EF" w14:paraId="2F4E3E91" w14:textId="77777777"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14:paraId="3686BB9E" w14:textId="77777777" w:rsidR="00CF59EF" w:rsidRDefault="000B5D37">
            <w:pPr>
              <w:rPr>
                <w:b/>
              </w:rPr>
            </w:pPr>
            <w:r>
              <w:rPr>
                <w:b/>
                <w:bCs/>
                <w:color w:val="000000"/>
                <w:szCs w:val="24"/>
                <w:lang w:eastAsia="en-GB"/>
              </w:rPr>
              <w:t>Location of manufacturing sites</w:t>
            </w:r>
          </w:p>
        </w:tc>
        <w:tc>
          <w:tcPr>
            <w:tcW w:w="5628" w:type="dxa"/>
            <w:tcBorders>
              <w:bottom w:val="single" w:sz="4" w:space="0" w:color="000001"/>
              <w:right w:val="single" w:sz="4" w:space="0" w:color="000001"/>
            </w:tcBorders>
            <w:shd w:val="clear" w:color="auto" w:fill="auto"/>
          </w:tcPr>
          <w:p w14:paraId="69D87004" w14:textId="77777777" w:rsidR="00CF59EF" w:rsidRDefault="000B5D37">
            <w:proofErr w:type="spellStart"/>
            <w:r>
              <w:t>Montrealweg</w:t>
            </w:r>
            <w:proofErr w:type="spellEnd"/>
            <w:r>
              <w:t xml:space="preserve"> 15, 3197 KH Rotterdam, </w:t>
            </w:r>
            <w:r w:rsidR="00F54C5A">
              <w:t xml:space="preserve">The </w:t>
            </w:r>
            <w:r>
              <w:t>Netherlands</w:t>
            </w:r>
          </w:p>
        </w:tc>
      </w:tr>
    </w:tbl>
    <w:p w14:paraId="67C316D7" w14:textId="77777777" w:rsidR="00CF59EF" w:rsidRDefault="00CF59EF">
      <w:pPr>
        <w:sectPr w:rsidR="00CF59EF">
          <w:headerReference w:type="default" r:id="rId11"/>
          <w:footerReference w:type="default" r:id="rId12"/>
          <w:type w:val="continuous"/>
          <w:pgSz w:w="11906" w:h="16838"/>
          <w:pgMar w:top="1474" w:right="1247" w:bottom="2013" w:left="1446" w:header="850" w:footer="850" w:gutter="0"/>
          <w:cols w:space="708"/>
          <w:formProt w:val="0"/>
          <w:docGrid w:linePitch="312" w:charSpace="2047"/>
        </w:sectPr>
      </w:pPr>
    </w:p>
    <w:p w14:paraId="425031F6" w14:textId="77777777" w:rsidR="00CF59EF" w:rsidRDefault="000B5D37" w:rsidP="00172945">
      <w:pPr>
        <w:pStyle w:val="Heading2"/>
        <w:numPr>
          <w:ilvl w:val="2"/>
          <w:numId w:val="2"/>
        </w:numPr>
        <w:ind w:left="720"/>
      </w:pPr>
      <w:bookmarkStart w:id="32" w:name="_Toc531868625"/>
      <w:r>
        <w:lastRenderedPageBreak/>
        <w:t>Product composition and formulation</w:t>
      </w:r>
      <w:bookmarkEnd w:id="32"/>
    </w:p>
    <w:p w14:paraId="19998DE0" w14:textId="77777777" w:rsidR="00CF59EF" w:rsidRDefault="00E03AD2">
      <w:pPr>
        <w:spacing w:line="260" w:lineRule="atLeast"/>
        <w:rPr>
          <w:rFonts w:eastAsia="Calibri"/>
          <w:lang w:eastAsia="en-US"/>
        </w:rPr>
      </w:pPr>
      <w:r>
        <w:rPr>
          <w:rFonts w:eastAsia="Calibri"/>
          <w:lang w:eastAsia="en-US"/>
        </w:rPr>
        <w:t>T</w:t>
      </w:r>
      <w:r w:rsidR="000B5D37">
        <w:rPr>
          <w:rFonts w:eastAsia="Calibri"/>
          <w:lang w:eastAsia="en-US"/>
        </w:rPr>
        <w:t xml:space="preserve">he full composition of the product according to Annex III Title 1 </w:t>
      </w:r>
      <w:r>
        <w:rPr>
          <w:rFonts w:eastAsia="Calibri"/>
          <w:lang w:eastAsia="en-US"/>
        </w:rPr>
        <w:t>is</w:t>
      </w:r>
      <w:r w:rsidR="000B5D37">
        <w:rPr>
          <w:rFonts w:eastAsia="Calibri"/>
          <w:lang w:eastAsia="en-US"/>
        </w:rPr>
        <w:t xml:space="preserve"> provided in the confidential annex.</w:t>
      </w:r>
    </w:p>
    <w:p w14:paraId="32E4863E" w14:textId="77777777" w:rsidR="00CF59EF" w:rsidRDefault="00CF59EF">
      <w:pPr>
        <w:spacing w:line="260" w:lineRule="atLeast"/>
        <w:rPr>
          <w:rFonts w:eastAsia="Calibri"/>
          <w:lang w:eastAsia="en-US"/>
        </w:rPr>
      </w:pPr>
    </w:p>
    <w:p w14:paraId="03FED763" w14:textId="77777777" w:rsidR="00CF59EF" w:rsidRDefault="000B5D37">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299A2CA" w14:textId="77777777" w:rsidR="00CF59EF" w:rsidRDefault="00E03AD2">
      <w:pPr>
        <w:spacing w:line="260" w:lineRule="atLeast"/>
        <w:ind w:left="720"/>
        <w:jc w:val="both"/>
      </w:pPr>
      <w:r>
        <w:rPr>
          <w:rFonts w:eastAsia="Calibri"/>
          <w:lang w:eastAsia="en-US"/>
        </w:rPr>
        <w:t xml:space="preserve">Yes </w:t>
      </w:r>
      <w:r w:rsidR="000B5D37">
        <w:fldChar w:fldCharType="begin">
          <w:ffData>
            <w:name w:val=""/>
            <w:enabled/>
            <w:calcOnExit w:val="0"/>
            <w:checkBox>
              <w:sizeAuto/>
              <w:default w:val="0"/>
            </w:checkBox>
          </w:ffData>
        </w:fldChar>
      </w:r>
      <w:r w:rsidR="000B5D37">
        <w:instrText>FORMCHECKBOX</w:instrText>
      </w:r>
      <w:r w:rsidR="00980D14">
        <w:fldChar w:fldCharType="separate"/>
      </w:r>
      <w:bookmarkStart w:id="33" w:name="__Fieldmark__1156_612297181"/>
      <w:bookmarkEnd w:id="33"/>
      <w:r w:rsidR="000B5D37">
        <w:fldChar w:fldCharType="end"/>
      </w:r>
    </w:p>
    <w:p w14:paraId="3B071792" w14:textId="77777777" w:rsidR="00CF59EF" w:rsidRDefault="000B5D37">
      <w:pPr>
        <w:spacing w:line="260" w:lineRule="atLeast"/>
        <w:ind w:left="720"/>
        <w:jc w:val="both"/>
      </w:pPr>
      <w:r>
        <w:rPr>
          <w:rFonts w:eastAsia="Calibri"/>
          <w:lang w:eastAsia="en-US"/>
        </w:rPr>
        <w:t xml:space="preserve">No </w:t>
      </w:r>
      <w:r>
        <w:rPr>
          <w:rFonts w:eastAsia="Calibri"/>
          <w:lang w:eastAsia="en-US"/>
        </w:rPr>
        <w:tab/>
      </w:r>
      <w:r>
        <w:fldChar w:fldCharType="begin">
          <w:ffData>
            <w:name w:val=""/>
            <w:enabled/>
            <w:calcOnExit w:val="0"/>
            <w:checkBox>
              <w:sizeAuto/>
              <w:default w:val="0"/>
              <w:checked/>
            </w:checkBox>
          </w:ffData>
        </w:fldChar>
      </w:r>
      <w:r>
        <w:instrText>FORMCHECKBOX</w:instrText>
      </w:r>
      <w:r w:rsidR="00980D14">
        <w:fldChar w:fldCharType="separate"/>
      </w:r>
      <w:bookmarkStart w:id="34" w:name="Check1"/>
      <w:bookmarkStart w:id="35" w:name="__Fieldmark__1162_612297181"/>
      <w:bookmarkEnd w:id="34"/>
      <w:bookmarkEnd w:id="35"/>
      <w:r>
        <w:fldChar w:fldCharType="end"/>
      </w:r>
    </w:p>
    <w:p w14:paraId="1A1FFD01" w14:textId="77777777" w:rsidR="00E03AD2" w:rsidRDefault="00E03AD2">
      <w:pPr>
        <w:spacing w:line="260" w:lineRule="atLeast"/>
        <w:ind w:left="720"/>
        <w:jc w:val="both"/>
      </w:pPr>
    </w:p>
    <w:p w14:paraId="5839D558" w14:textId="77777777" w:rsidR="00CF59EF" w:rsidRDefault="000B5D37" w:rsidP="00FD395A">
      <w:pPr>
        <w:pStyle w:val="Heading3"/>
      </w:pPr>
      <w:bookmarkStart w:id="36" w:name="_Toc531868626"/>
      <w:r>
        <w:t xml:space="preserve">Identity of </w:t>
      </w:r>
      <w:proofErr w:type="spellStart"/>
      <w:r>
        <w:t>the</w:t>
      </w:r>
      <w:proofErr w:type="spellEnd"/>
      <w:r>
        <w:t xml:space="preserve"> </w:t>
      </w:r>
      <w:proofErr w:type="spellStart"/>
      <w:r>
        <w:t>active</w:t>
      </w:r>
      <w:proofErr w:type="spellEnd"/>
      <w:r>
        <w:t xml:space="preserve"> </w:t>
      </w:r>
      <w:proofErr w:type="spellStart"/>
      <w:r>
        <w:t>substance</w:t>
      </w:r>
      <w:bookmarkEnd w:id="36"/>
      <w:proofErr w:type="spellEnd"/>
    </w:p>
    <w:tbl>
      <w:tblPr>
        <w:tblW w:w="9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76"/>
        <w:gridCol w:w="5354"/>
      </w:tblGrid>
      <w:tr w:rsidR="00CF59EF" w14:paraId="37606DAD" w14:textId="77777777" w:rsidTr="00EB287D">
        <w:tc>
          <w:tcPr>
            <w:tcW w:w="9430"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DBA83D6" w14:textId="77777777" w:rsidR="00CF59EF" w:rsidRDefault="000B5D37">
            <w:pPr>
              <w:spacing w:line="260" w:lineRule="atLeast"/>
              <w:jc w:val="center"/>
              <w:rPr>
                <w:rFonts w:eastAsia="Calibri"/>
                <w:b/>
                <w:lang w:eastAsia="en-US"/>
              </w:rPr>
            </w:pPr>
            <w:r>
              <w:rPr>
                <w:rFonts w:eastAsia="Calibri"/>
                <w:b/>
                <w:lang w:eastAsia="en-US"/>
              </w:rPr>
              <w:t>Main constituent(s)</w:t>
            </w:r>
          </w:p>
        </w:tc>
      </w:tr>
      <w:tr w:rsidR="00CF59EF" w14:paraId="55B7C7F0"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C63E3" w14:textId="77777777" w:rsidR="00CF59EF" w:rsidRDefault="000B5D37">
            <w:pPr>
              <w:spacing w:line="260" w:lineRule="atLeast"/>
              <w:rPr>
                <w:rFonts w:eastAsia="Calibri"/>
                <w:b/>
                <w:lang w:eastAsia="en-US"/>
              </w:rPr>
            </w:pPr>
            <w:r>
              <w:rPr>
                <w:rFonts w:eastAsia="Calibri"/>
                <w:b/>
                <w:lang w:eastAsia="en-US"/>
              </w:rPr>
              <w:t>ISO name</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0AD5E" w14:textId="77777777" w:rsidR="00CF59EF" w:rsidRDefault="000B5D37">
            <w:pPr>
              <w:spacing w:line="260" w:lineRule="atLeast"/>
              <w:rPr>
                <w:rFonts w:eastAsia="Calibri"/>
                <w:lang w:eastAsia="en-US"/>
              </w:rPr>
            </w:pPr>
            <w:r>
              <w:rPr>
                <w:rFonts w:eastAsia="Calibri"/>
                <w:lang w:eastAsia="en-US"/>
              </w:rPr>
              <w:t>Sodium benzoate</w:t>
            </w:r>
          </w:p>
        </w:tc>
      </w:tr>
      <w:tr w:rsidR="00CF59EF" w14:paraId="6E246DB3"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E2565" w14:textId="77777777" w:rsidR="00CF59EF" w:rsidRDefault="000B5D37">
            <w:pPr>
              <w:spacing w:line="260" w:lineRule="atLeast"/>
              <w:rPr>
                <w:rFonts w:eastAsia="Calibri"/>
                <w:b/>
                <w:lang w:eastAsia="en-US"/>
              </w:rPr>
            </w:pPr>
            <w:r>
              <w:rPr>
                <w:rFonts w:eastAsia="Calibri"/>
                <w:b/>
                <w:lang w:eastAsia="en-US"/>
              </w:rPr>
              <w:t>IUPAC or EC name</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D5A0D" w14:textId="77777777" w:rsidR="00CF59EF" w:rsidRDefault="000B5D37">
            <w:pPr>
              <w:spacing w:line="260" w:lineRule="atLeast"/>
              <w:rPr>
                <w:rFonts w:eastAsia="Calibri"/>
                <w:lang w:eastAsia="en-US"/>
              </w:rPr>
            </w:pPr>
            <w:r>
              <w:rPr>
                <w:rFonts w:eastAsia="Calibri"/>
                <w:lang w:eastAsia="en-US"/>
              </w:rPr>
              <w:t>Sodium benzoate</w:t>
            </w:r>
          </w:p>
        </w:tc>
      </w:tr>
      <w:tr w:rsidR="00CF59EF" w14:paraId="2A6496AA"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16916" w14:textId="77777777" w:rsidR="00CF59EF" w:rsidRDefault="000B5D37">
            <w:pPr>
              <w:spacing w:line="260" w:lineRule="atLeast"/>
              <w:rPr>
                <w:rFonts w:eastAsia="Calibri"/>
                <w:b/>
                <w:lang w:eastAsia="en-US"/>
              </w:rPr>
            </w:pPr>
            <w:r>
              <w:rPr>
                <w:rFonts w:eastAsia="Calibri"/>
                <w:b/>
                <w:lang w:eastAsia="en-US"/>
              </w:rPr>
              <w:t>EC number</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92A9D" w14:textId="77777777" w:rsidR="00CF59EF" w:rsidRDefault="000B5D37">
            <w:pPr>
              <w:spacing w:line="260" w:lineRule="atLeast"/>
              <w:rPr>
                <w:rFonts w:eastAsia="Calibri"/>
                <w:lang w:eastAsia="en-US"/>
              </w:rPr>
            </w:pPr>
            <w:r>
              <w:rPr>
                <w:rFonts w:eastAsia="Calibri"/>
                <w:lang w:eastAsia="en-US"/>
              </w:rPr>
              <w:t>208-534-8</w:t>
            </w:r>
          </w:p>
        </w:tc>
      </w:tr>
      <w:tr w:rsidR="00CF59EF" w14:paraId="6E6C5912"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4B220" w14:textId="77777777" w:rsidR="00CF59EF" w:rsidRDefault="000B5D37">
            <w:pPr>
              <w:spacing w:line="260" w:lineRule="atLeast"/>
              <w:rPr>
                <w:rFonts w:eastAsia="Calibri"/>
                <w:b/>
                <w:lang w:eastAsia="en-US"/>
              </w:rPr>
            </w:pPr>
            <w:r>
              <w:rPr>
                <w:rFonts w:eastAsia="Calibri"/>
                <w:b/>
                <w:lang w:eastAsia="en-US"/>
              </w:rPr>
              <w:t>CAS number</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26293" w14:textId="77777777" w:rsidR="00CF59EF" w:rsidRDefault="000B5D37">
            <w:pPr>
              <w:spacing w:line="260" w:lineRule="atLeast"/>
              <w:rPr>
                <w:rFonts w:eastAsia="Calibri"/>
                <w:lang w:eastAsia="en-US"/>
              </w:rPr>
            </w:pPr>
            <w:r>
              <w:rPr>
                <w:rFonts w:eastAsia="Calibri"/>
                <w:lang w:eastAsia="en-US"/>
              </w:rPr>
              <w:t>532-32-1</w:t>
            </w:r>
          </w:p>
        </w:tc>
      </w:tr>
      <w:tr w:rsidR="00CF59EF" w14:paraId="5AC4F717"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2062B" w14:textId="77777777" w:rsidR="00CF59EF" w:rsidRDefault="000B5D37">
            <w:pPr>
              <w:spacing w:line="260" w:lineRule="atLeast"/>
              <w:rPr>
                <w:rFonts w:eastAsia="Calibri"/>
                <w:b/>
                <w:lang w:eastAsia="en-US"/>
              </w:rPr>
            </w:pPr>
            <w:r>
              <w:rPr>
                <w:rFonts w:eastAsia="Calibri"/>
                <w:b/>
                <w:lang w:eastAsia="en-US"/>
              </w:rPr>
              <w:t>Index number in Annex VI of CLP</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3788F" w14:textId="77777777" w:rsidR="00CF59EF" w:rsidRDefault="000B5D37">
            <w:pPr>
              <w:spacing w:line="260" w:lineRule="atLeast"/>
              <w:rPr>
                <w:rFonts w:eastAsia="Calibri"/>
                <w:lang w:eastAsia="en-US"/>
              </w:rPr>
            </w:pPr>
            <w:r>
              <w:rPr>
                <w:rFonts w:eastAsia="Calibri"/>
                <w:lang w:eastAsia="en-US"/>
              </w:rPr>
              <w:t>Not available</w:t>
            </w:r>
          </w:p>
        </w:tc>
      </w:tr>
      <w:tr w:rsidR="00CF59EF" w14:paraId="580ED99B" w14:textId="77777777"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811D5" w14:textId="77777777" w:rsidR="00CF59EF" w:rsidRDefault="000B5D37">
            <w:pPr>
              <w:spacing w:line="260" w:lineRule="atLeast"/>
              <w:rPr>
                <w:rFonts w:eastAsia="Calibri"/>
                <w:b/>
                <w:lang w:eastAsia="en-US"/>
              </w:rPr>
            </w:pPr>
            <w:r>
              <w:rPr>
                <w:rFonts w:eastAsia="Calibri"/>
                <w:b/>
                <w:lang w:eastAsia="en-US"/>
              </w:rPr>
              <w:t>Minimum purity / content</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10878" w14:textId="77777777" w:rsidR="00CF59EF" w:rsidRDefault="000B5D37">
            <w:pPr>
              <w:spacing w:line="260" w:lineRule="atLeast"/>
              <w:rPr>
                <w:rFonts w:eastAsia="Calibri"/>
                <w:lang w:eastAsia="en-US"/>
              </w:rPr>
            </w:pPr>
            <w:r>
              <w:rPr>
                <w:rFonts w:eastAsia="Calibri"/>
                <w:lang w:eastAsia="en-US"/>
              </w:rPr>
              <w:t>99.9%</w:t>
            </w:r>
          </w:p>
        </w:tc>
      </w:tr>
      <w:tr w:rsidR="00CF59EF" w14:paraId="41087302" w14:textId="77777777" w:rsidTr="00EB287D">
        <w:trPr>
          <w:trHeight w:val="1359"/>
        </w:trPr>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EEC5E" w14:textId="77777777" w:rsidR="00CF59EF" w:rsidRDefault="000B5D37">
            <w:pPr>
              <w:spacing w:line="260" w:lineRule="atLeast"/>
              <w:rPr>
                <w:rFonts w:eastAsia="Calibri"/>
                <w:b/>
                <w:lang w:eastAsia="en-US"/>
              </w:rPr>
            </w:pPr>
            <w:r>
              <w:rPr>
                <w:rFonts w:eastAsia="Calibri"/>
                <w:b/>
                <w:lang w:eastAsia="en-US"/>
              </w:rPr>
              <w:t>Structural formula</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EC2EA" w14:textId="77777777" w:rsidR="00CF59EF" w:rsidRDefault="000B5D37">
            <w:pPr>
              <w:spacing w:line="260" w:lineRule="atLeast"/>
              <w:rPr>
                <w:rFonts w:eastAsia="Calibri"/>
                <w:lang w:eastAsia="en-US"/>
              </w:rPr>
            </w:pPr>
            <w:r>
              <w:rPr>
                <w:noProof/>
                <w:lang w:val="nl-NL" w:eastAsia="nl-NL"/>
              </w:rPr>
              <w:drawing>
                <wp:inline distT="0" distB="9525" distL="0" distR="9525" wp14:anchorId="56C303DD" wp14:editId="12782AA0">
                  <wp:extent cx="1228725" cy="1228725"/>
                  <wp:effectExtent l="0" t="0" r="0" b="0"/>
                  <wp:docPr id="3" name="Picture 2" descr="sodium benzoa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odium benzoate structure"/>
                          <pic:cNvPicPr>
                            <a:picLocks noChangeAspect="1" noChangeArrowheads="1"/>
                          </pic:cNvPicPr>
                        </pic:nvPicPr>
                        <pic:blipFill>
                          <a:blip r:embed="rId13"/>
                          <a:stretch>
                            <a:fillRect/>
                          </a:stretch>
                        </pic:blipFill>
                        <pic:spPr bwMode="auto">
                          <a:xfrm>
                            <a:off x="0" y="0"/>
                            <a:ext cx="1228725" cy="1228725"/>
                          </a:xfrm>
                          <a:prstGeom prst="rect">
                            <a:avLst/>
                          </a:prstGeom>
                        </pic:spPr>
                      </pic:pic>
                    </a:graphicData>
                  </a:graphic>
                </wp:inline>
              </w:drawing>
            </w:r>
          </w:p>
        </w:tc>
      </w:tr>
    </w:tbl>
    <w:p w14:paraId="7C30F20F" w14:textId="77777777" w:rsidR="00EB287D" w:rsidRDefault="00EB287D" w:rsidP="00EB287D"/>
    <w:p w14:paraId="7CC31D96" w14:textId="77777777" w:rsidR="00CF59EF" w:rsidRDefault="000B5D37" w:rsidP="00FD395A">
      <w:pPr>
        <w:pStyle w:val="Heading3"/>
      </w:pPr>
      <w:bookmarkStart w:id="37" w:name="_Toc531868627"/>
      <w:proofErr w:type="spellStart"/>
      <w:r>
        <w:t>Candidate</w:t>
      </w:r>
      <w:proofErr w:type="spellEnd"/>
      <w:r>
        <w:t xml:space="preserve">(s) </w:t>
      </w:r>
      <w:proofErr w:type="spellStart"/>
      <w:r>
        <w:t>for</w:t>
      </w:r>
      <w:proofErr w:type="spellEnd"/>
      <w:r>
        <w:t xml:space="preserve"> </w:t>
      </w:r>
      <w:proofErr w:type="spellStart"/>
      <w:r>
        <w:t>substitution</w:t>
      </w:r>
      <w:bookmarkEnd w:id="37"/>
      <w:proofErr w:type="spellEnd"/>
    </w:p>
    <w:p w14:paraId="6452F24F" w14:textId="77777777" w:rsidR="00CF59EF" w:rsidRDefault="000B5D37">
      <w:pPr>
        <w:spacing w:line="260" w:lineRule="atLeast"/>
        <w:jc w:val="both"/>
        <w:rPr>
          <w:rFonts w:eastAsia="Calibri"/>
          <w:lang w:eastAsia="fr-FR"/>
        </w:rPr>
      </w:pPr>
      <w:r>
        <w:rPr>
          <w:rFonts w:eastAsia="Calibri"/>
          <w:lang w:eastAsia="fr-FR"/>
        </w:rPr>
        <w:t xml:space="preserve">Not applicable. </w:t>
      </w:r>
    </w:p>
    <w:p w14:paraId="5D26B36A" w14:textId="77777777" w:rsidR="00E03AD2" w:rsidRDefault="00E03AD2">
      <w:pPr>
        <w:spacing w:line="260" w:lineRule="atLeast"/>
        <w:jc w:val="both"/>
        <w:rPr>
          <w:rFonts w:eastAsia="Calibri"/>
          <w:lang w:eastAsia="fr-FR"/>
        </w:rPr>
      </w:pPr>
    </w:p>
    <w:p w14:paraId="30BDC6DF" w14:textId="77777777" w:rsidR="00CF59EF" w:rsidRPr="00EB287D" w:rsidRDefault="000B5D37" w:rsidP="00FD395A">
      <w:pPr>
        <w:pStyle w:val="Heading3"/>
        <w:rPr>
          <w:lang w:val="en-US"/>
        </w:rPr>
      </w:pPr>
      <w:bookmarkStart w:id="38" w:name="_Toc531868628"/>
      <w:r w:rsidRPr="00EB287D">
        <w:rPr>
          <w:lang w:val="en-US"/>
        </w:rPr>
        <w:t>Qualitative and quantitative information on the composition of the biocidal product</w:t>
      </w:r>
      <w:bookmarkStart w:id="39" w:name="_Toc366658845"/>
      <w:bookmarkEnd w:id="38"/>
      <w:bookmarkEnd w:id="39"/>
      <w:r w:rsidRPr="00EB287D">
        <w:rPr>
          <w:lang w:val="en-US"/>
        </w:rPr>
        <w:t xml:space="preserve"> </w:t>
      </w:r>
    </w:p>
    <w:tbl>
      <w:tblPr>
        <w:tblW w:w="9022"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2256"/>
        <w:gridCol w:w="1353"/>
        <w:gridCol w:w="1354"/>
        <w:gridCol w:w="1353"/>
        <w:gridCol w:w="1353"/>
        <w:gridCol w:w="1353"/>
      </w:tblGrid>
      <w:tr w:rsidR="00CF59EF" w14:paraId="217C7A0B" w14:textId="77777777">
        <w:trPr>
          <w:tblHeader/>
        </w:trPr>
        <w:tc>
          <w:tcPr>
            <w:tcW w:w="2255"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B8318EC" w14:textId="77777777" w:rsidR="00CF59EF" w:rsidRDefault="000B5D37">
            <w:r>
              <w:rPr>
                <w:b/>
                <w:bCs/>
                <w:color w:val="000000"/>
                <w:szCs w:val="24"/>
                <w:lang w:eastAsia="en-GB"/>
              </w:rPr>
              <w:t>Common name</w:t>
            </w:r>
          </w:p>
        </w:tc>
        <w:tc>
          <w:tcPr>
            <w:tcW w:w="1353" w:type="dxa"/>
            <w:tcBorders>
              <w:top w:val="single" w:sz="4" w:space="0" w:color="000001"/>
              <w:bottom w:val="single" w:sz="4" w:space="0" w:color="000001"/>
              <w:right w:val="single" w:sz="4" w:space="0" w:color="000001"/>
            </w:tcBorders>
            <w:shd w:val="clear" w:color="auto" w:fill="auto"/>
          </w:tcPr>
          <w:p w14:paraId="6F60139D" w14:textId="77777777" w:rsidR="00CF59EF" w:rsidRDefault="000B5D37">
            <w:r>
              <w:rPr>
                <w:b/>
                <w:bCs/>
                <w:color w:val="000000"/>
                <w:szCs w:val="24"/>
                <w:lang w:eastAsia="en-GB"/>
              </w:rPr>
              <w:t>IUPAC name</w:t>
            </w:r>
          </w:p>
        </w:tc>
        <w:tc>
          <w:tcPr>
            <w:tcW w:w="1354" w:type="dxa"/>
            <w:tcBorders>
              <w:top w:val="single" w:sz="4" w:space="0" w:color="000001"/>
              <w:bottom w:val="single" w:sz="4" w:space="0" w:color="000001"/>
              <w:right w:val="single" w:sz="4" w:space="0" w:color="000001"/>
            </w:tcBorders>
            <w:shd w:val="clear" w:color="auto" w:fill="auto"/>
          </w:tcPr>
          <w:p w14:paraId="53DD4DDE" w14:textId="77777777" w:rsidR="00CF59EF" w:rsidRDefault="000B5D37">
            <w:r>
              <w:rPr>
                <w:b/>
                <w:bCs/>
                <w:color w:val="000000"/>
                <w:szCs w:val="24"/>
                <w:lang w:eastAsia="en-GB"/>
              </w:rPr>
              <w:t>Function</w:t>
            </w:r>
          </w:p>
        </w:tc>
        <w:tc>
          <w:tcPr>
            <w:tcW w:w="1353" w:type="dxa"/>
            <w:tcBorders>
              <w:top w:val="single" w:sz="4" w:space="0" w:color="000001"/>
              <w:bottom w:val="single" w:sz="4" w:space="0" w:color="000001"/>
              <w:right w:val="single" w:sz="4" w:space="0" w:color="000001"/>
            </w:tcBorders>
            <w:shd w:val="clear" w:color="auto" w:fill="auto"/>
          </w:tcPr>
          <w:p w14:paraId="6C0123C6" w14:textId="77777777" w:rsidR="00CF59EF" w:rsidRDefault="000B5D37">
            <w:r>
              <w:rPr>
                <w:b/>
                <w:bCs/>
                <w:color w:val="000000"/>
                <w:szCs w:val="24"/>
                <w:lang w:eastAsia="en-GB"/>
              </w:rPr>
              <w:t>CAS number</w:t>
            </w:r>
          </w:p>
        </w:tc>
        <w:tc>
          <w:tcPr>
            <w:tcW w:w="1353" w:type="dxa"/>
            <w:tcBorders>
              <w:top w:val="single" w:sz="4" w:space="0" w:color="000001"/>
              <w:bottom w:val="single" w:sz="4" w:space="0" w:color="000001"/>
              <w:right w:val="single" w:sz="4" w:space="0" w:color="000001"/>
            </w:tcBorders>
            <w:shd w:val="clear" w:color="auto" w:fill="auto"/>
          </w:tcPr>
          <w:p w14:paraId="02C652E0" w14:textId="77777777" w:rsidR="00CF59EF" w:rsidRDefault="000B5D37">
            <w:r>
              <w:rPr>
                <w:b/>
                <w:bCs/>
                <w:color w:val="000000"/>
                <w:szCs w:val="24"/>
                <w:lang w:eastAsia="en-GB"/>
              </w:rPr>
              <w:t>EC number</w:t>
            </w:r>
          </w:p>
        </w:tc>
        <w:tc>
          <w:tcPr>
            <w:tcW w:w="1353" w:type="dxa"/>
            <w:tcBorders>
              <w:top w:val="single" w:sz="4" w:space="0" w:color="000001"/>
              <w:bottom w:val="single" w:sz="4" w:space="0" w:color="000001"/>
              <w:right w:val="single" w:sz="4" w:space="0" w:color="000001"/>
            </w:tcBorders>
            <w:shd w:val="clear" w:color="auto" w:fill="auto"/>
          </w:tcPr>
          <w:p w14:paraId="0D661D3E" w14:textId="77777777" w:rsidR="00CF59EF" w:rsidRDefault="000B5D37">
            <w:r>
              <w:rPr>
                <w:b/>
                <w:bCs/>
                <w:color w:val="000000"/>
                <w:szCs w:val="24"/>
                <w:lang w:eastAsia="en-GB"/>
              </w:rPr>
              <w:t>Content (%)</w:t>
            </w:r>
          </w:p>
        </w:tc>
      </w:tr>
      <w:tr w:rsidR="00CF59EF" w14:paraId="77BEB9B9" w14:textId="77777777">
        <w:tc>
          <w:tcPr>
            <w:tcW w:w="2255" w:type="dxa"/>
            <w:tcBorders>
              <w:left w:val="single" w:sz="4" w:space="0" w:color="000001"/>
              <w:bottom w:val="single" w:sz="4" w:space="0" w:color="000001"/>
              <w:right w:val="single" w:sz="4" w:space="0" w:color="000001"/>
            </w:tcBorders>
            <w:shd w:val="clear" w:color="auto" w:fill="auto"/>
            <w:tcMar>
              <w:left w:w="35" w:type="dxa"/>
            </w:tcMar>
          </w:tcPr>
          <w:p w14:paraId="3F62AA0C" w14:textId="77777777" w:rsidR="00CF59EF" w:rsidRDefault="000B5D37">
            <w:pPr>
              <w:rPr>
                <w:lang w:val="pl-PL"/>
              </w:rPr>
            </w:pPr>
            <w:r>
              <w:rPr>
                <w:lang w:val="pl-PL"/>
              </w:rPr>
              <w:t>Sodium benzoate</w:t>
            </w:r>
          </w:p>
        </w:tc>
        <w:tc>
          <w:tcPr>
            <w:tcW w:w="1353" w:type="dxa"/>
            <w:tcBorders>
              <w:bottom w:val="single" w:sz="4" w:space="0" w:color="000001"/>
              <w:right w:val="single" w:sz="4" w:space="0" w:color="000001"/>
            </w:tcBorders>
            <w:shd w:val="clear" w:color="auto" w:fill="auto"/>
          </w:tcPr>
          <w:p w14:paraId="47227516" w14:textId="77777777" w:rsidR="00CF59EF" w:rsidRDefault="000B5D37">
            <w:r>
              <w:t>Sodium benzoate</w:t>
            </w:r>
          </w:p>
        </w:tc>
        <w:tc>
          <w:tcPr>
            <w:tcW w:w="1354" w:type="dxa"/>
            <w:tcBorders>
              <w:bottom w:val="single" w:sz="4" w:space="0" w:color="000001"/>
              <w:right w:val="single" w:sz="4" w:space="0" w:color="000001"/>
            </w:tcBorders>
            <w:shd w:val="clear" w:color="auto" w:fill="auto"/>
          </w:tcPr>
          <w:p w14:paraId="0FF2A7F5" w14:textId="77777777" w:rsidR="00CF59EF" w:rsidRDefault="000B5D37">
            <w:r>
              <w:t>Active substance</w:t>
            </w:r>
          </w:p>
        </w:tc>
        <w:tc>
          <w:tcPr>
            <w:tcW w:w="1353" w:type="dxa"/>
            <w:tcBorders>
              <w:bottom w:val="single" w:sz="4" w:space="0" w:color="000001"/>
              <w:right w:val="single" w:sz="4" w:space="0" w:color="000001"/>
            </w:tcBorders>
            <w:shd w:val="clear" w:color="auto" w:fill="auto"/>
          </w:tcPr>
          <w:p w14:paraId="6B22291C" w14:textId="77777777" w:rsidR="00CF59EF" w:rsidRDefault="000B5D37">
            <w:r>
              <w:rPr>
                <w:rFonts w:eastAsia="Calibri"/>
                <w:lang w:eastAsia="en-US"/>
              </w:rPr>
              <w:t>532-32-1</w:t>
            </w:r>
          </w:p>
        </w:tc>
        <w:tc>
          <w:tcPr>
            <w:tcW w:w="1353" w:type="dxa"/>
            <w:tcBorders>
              <w:bottom w:val="single" w:sz="4" w:space="0" w:color="000001"/>
              <w:right w:val="single" w:sz="4" w:space="0" w:color="000001"/>
            </w:tcBorders>
            <w:shd w:val="clear" w:color="auto" w:fill="auto"/>
          </w:tcPr>
          <w:p w14:paraId="188FFF7A" w14:textId="77777777" w:rsidR="00CF59EF" w:rsidRDefault="000B5D37">
            <w:r>
              <w:rPr>
                <w:rFonts w:eastAsia="Calibri"/>
                <w:lang w:eastAsia="en-US"/>
              </w:rPr>
              <w:t>208-534-8</w:t>
            </w:r>
          </w:p>
        </w:tc>
        <w:tc>
          <w:tcPr>
            <w:tcW w:w="1353" w:type="dxa"/>
            <w:tcBorders>
              <w:bottom w:val="single" w:sz="4" w:space="0" w:color="000001"/>
              <w:right w:val="single" w:sz="4" w:space="0" w:color="000001"/>
            </w:tcBorders>
            <w:shd w:val="clear" w:color="auto" w:fill="auto"/>
          </w:tcPr>
          <w:p w14:paraId="674898CD" w14:textId="77777777" w:rsidR="00CF59EF" w:rsidRDefault="000B5D37">
            <w:r>
              <w:t>TC</w:t>
            </w:r>
          </w:p>
          <w:p w14:paraId="671AD420" w14:textId="77777777" w:rsidR="00CF59EF" w:rsidRDefault="000B5D37">
            <w:r>
              <w:t>100%</w:t>
            </w:r>
          </w:p>
          <w:p w14:paraId="0B48BFCC" w14:textId="77777777" w:rsidR="00CF59EF" w:rsidRDefault="000B5D37">
            <w:r>
              <w:t>Pure</w:t>
            </w:r>
          </w:p>
          <w:p w14:paraId="00F2A55E" w14:textId="77777777" w:rsidR="00CF59EF" w:rsidRDefault="000B5D37">
            <w:r>
              <w:t>99.9%</w:t>
            </w:r>
          </w:p>
        </w:tc>
      </w:tr>
    </w:tbl>
    <w:p w14:paraId="6AE7DF59" w14:textId="77777777" w:rsidR="00CF59EF" w:rsidRDefault="00CF59EF">
      <w:pPr>
        <w:pStyle w:val="Absatz"/>
        <w:rPr>
          <w:lang w:eastAsia="en-US"/>
        </w:rPr>
      </w:pPr>
    </w:p>
    <w:p w14:paraId="5C704959" w14:textId="77777777" w:rsidR="00CF59EF" w:rsidRDefault="000B5D37" w:rsidP="00FD395A">
      <w:pPr>
        <w:pStyle w:val="Heading3"/>
      </w:pPr>
      <w:bookmarkStart w:id="40" w:name="_Toc403566543"/>
      <w:bookmarkStart w:id="41" w:name="_Toc531868629"/>
      <w:bookmarkEnd w:id="40"/>
      <w:r>
        <w:t xml:space="preserve">Information on </w:t>
      </w:r>
      <w:proofErr w:type="spellStart"/>
      <w:r>
        <w:t>technical</w:t>
      </w:r>
      <w:proofErr w:type="spellEnd"/>
      <w:r>
        <w:t xml:space="preserve"> </w:t>
      </w:r>
      <w:proofErr w:type="spellStart"/>
      <w:r>
        <w:t>equivalence</w:t>
      </w:r>
      <w:bookmarkEnd w:id="41"/>
      <w:proofErr w:type="spellEnd"/>
    </w:p>
    <w:p w14:paraId="5ABACA73" w14:textId="77777777" w:rsidR="00CF59EF" w:rsidRDefault="000B5D37">
      <w:pPr>
        <w:spacing w:line="260" w:lineRule="atLeast"/>
        <w:jc w:val="both"/>
        <w:rPr>
          <w:rFonts w:eastAsia="Calibri"/>
          <w:szCs w:val="24"/>
          <w:lang w:eastAsia="en-US"/>
        </w:rPr>
      </w:pPr>
      <w:r>
        <w:rPr>
          <w:rFonts w:eastAsia="Calibri"/>
          <w:szCs w:val="24"/>
          <w:lang w:eastAsia="fr-FR"/>
        </w:rPr>
        <w:t>Not applicable. The sub</w:t>
      </w:r>
      <w:r w:rsidR="00E03AD2">
        <w:rPr>
          <w:rFonts w:eastAsia="Calibri"/>
          <w:szCs w:val="24"/>
          <w:lang w:eastAsia="fr-FR"/>
        </w:rPr>
        <w:t xml:space="preserve">stance is included in annex I </w:t>
      </w:r>
      <w:r w:rsidR="00FE07F9">
        <w:rPr>
          <w:rFonts w:eastAsia="Calibri"/>
          <w:szCs w:val="24"/>
          <w:lang w:eastAsia="fr-FR"/>
        </w:rPr>
        <w:t xml:space="preserve">of the BPR </w:t>
      </w:r>
      <w:r w:rsidR="00E03AD2">
        <w:rPr>
          <w:rFonts w:eastAsia="Calibri"/>
          <w:szCs w:val="24"/>
          <w:lang w:eastAsia="fr-FR"/>
        </w:rPr>
        <w:t>and t</w:t>
      </w:r>
      <w:r>
        <w:rPr>
          <w:rFonts w:eastAsia="Calibri"/>
          <w:szCs w:val="24"/>
          <w:lang w:eastAsia="fr-FR"/>
        </w:rPr>
        <w:t>here</w:t>
      </w:r>
      <w:r w:rsidR="00E03AD2">
        <w:rPr>
          <w:rFonts w:eastAsia="Calibri"/>
          <w:szCs w:val="24"/>
          <w:lang w:eastAsia="fr-FR"/>
        </w:rPr>
        <w:t>fore there</w:t>
      </w:r>
      <w:r>
        <w:rPr>
          <w:rFonts w:eastAsia="Calibri"/>
          <w:szCs w:val="24"/>
          <w:lang w:eastAsia="fr-FR"/>
        </w:rPr>
        <w:t xml:space="preserve"> is no reference source or specification. </w:t>
      </w:r>
    </w:p>
    <w:p w14:paraId="4AF585ED" w14:textId="77777777" w:rsidR="00CF59EF" w:rsidRDefault="00CF59EF">
      <w:pPr>
        <w:spacing w:line="260" w:lineRule="atLeast"/>
        <w:rPr>
          <w:rFonts w:eastAsia="Calibri"/>
          <w:lang w:eastAsia="en-US"/>
        </w:rPr>
      </w:pPr>
    </w:p>
    <w:p w14:paraId="481FC15E" w14:textId="77777777" w:rsidR="00CF59EF" w:rsidRPr="00EB287D" w:rsidRDefault="000B5D37" w:rsidP="00FD395A">
      <w:pPr>
        <w:pStyle w:val="Heading3"/>
        <w:rPr>
          <w:lang w:val="en-US"/>
        </w:rPr>
      </w:pPr>
      <w:bookmarkStart w:id="42" w:name="_Toc403566544"/>
      <w:bookmarkStart w:id="43" w:name="_Toc531868630"/>
      <w:bookmarkEnd w:id="42"/>
      <w:r w:rsidRPr="00EB287D">
        <w:rPr>
          <w:lang w:val="en-US"/>
        </w:rPr>
        <w:t>Information on the substance(s) of concern</w:t>
      </w:r>
      <w:bookmarkEnd w:id="43"/>
    </w:p>
    <w:p w14:paraId="054A1F0D" w14:textId="77777777" w:rsidR="00CF59EF" w:rsidRDefault="000B5D37">
      <w:pPr>
        <w:spacing w:line="260" w:lineRule="atLeast"/>
        <w:jc w:val="both"/>
        <w:rPr>
          <w:rFonts w:eastAsia="Calibri" w:cs="Times"/>
          <w:bCs/>
          <w:szCs w:val="29"/>
        </w:rPr>
      </w:pPr>
      <w:r>
        <w:rPr>
          <w:rFonts w:eastAsia="Calibri" w:cs="Times"/>
          <w:bCs/>
          <w:szCs w:val="29"/>
        </w:rPr>
        <w:t xml:space="preserve">The product does not contain any substances of concern. </w:t>
      </w:r>
    </w:p>
    <w:p w14:paraId="0795D86B" w14:textId="77777777" w:rsidR="00CF59EF" w:rsidRDefault="00CF59EF">
      <w:pPr>
        <w:spacing w:line="260" w:lineRule="atLeast"/>
        <w:jc w:val="both"/>
        <w:rPr>
          <w:rFonts w:eastAsia="Calibri" w:cs="Times"/>
          <w:bCs/>
          <w:szCs w:val="29"/>
        </w:rPr>
      </w:pPr>
    </w:p>
    <w:p w14:paraId="1A9C382C" w14:textId="77777777" w:rsidR="00CF59EF" w:rsidRDefault="000B5D37" w:rsidP="00FD395A">
      <w:pPr>
        <w:pStyle w:val="Heading3"/>
      </w:pPr>
      <w:bookmarkStart w:id="44" w:name="_Toc366658846"/>
      <w:bookmarkStart w:id="45" w:name="d0e437"/>
      <w:bookmarkStart w:id="46" w:name="_Toc531868631"/>
      <w:bookmarkEnd w:id="44"/>
      <w:bookmarkEnd w:id="45"/>
      <w:r>
        <w:t xml:space="preserve">Type of </w:t>
      </w:r>
      <w:proofErr w:type="spellStart"/>
      <w:r>
        <w:t>formulation</w:t>
      </w:r>
      <w:bookmarkEnd w:id="46"/>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508D742D"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623A568" w14:textId="77777777" w:rsidR="00CF59EF" w:rsidRDefault="00F41EF3">
            <w:r>
              <w:t>DP</w:t>
            </w:r>
            <w:r w:rsidR="00F54C5A">
              <w:t xml:space="preserve"> (</w:t>
            </w:r>
            <w:proofErr w:type="spellStart"/>
            <w:r w:rsidR="00F54C5A">
              <w:t>dustable</w:t>
            </w:r>
            <w:proofErr w:type="spellEnd"/>
            <w:r w:rsidR="00F54C5A">
              <w:t xml:space="preserve"> powder)</w:t>
            </w:r>
          </w:p>
        </w:tc>
      </w:tr>
    </w:tbl>
    <w:p w14:paraId="5DAEC3AE" w14:textId="77777777" w:rsidR="00CF59EF" w:rsidRDefault="00CF59EF"/>
    <w:p w14:paraId="1495C22E" w14:textId="77777777" w:rsidR="00CF59EF" w:rsidRDefault="000B5D37">
      <w:pPr>
        <w:rPr>
          <w:b/>
        </w:rPr>
      </w:pPr>
      <w:proofErr w:type="spellStart"/>
      <w:r>
        <w:rPr>
          <w:b/>
        </w:rPr>
        <w:t>eCA</w:t>
      </w:r>
      <w:proofErr w:type="spellEnd"/>
      <w:r>
        <w:rPr>
          <w:b/>
        </w:rPr>
        <w:t xml:space="preserve"> remark</w:t>
      </w:r>
    </w:p>
    <w:p w14:paraId="50471BA1" w14:textId="77777777" w:rsidR="00CF59EF" w:rsidRDefault="000B5D37">
      <w:r>
        <w:t>Considering the product is a powder for direct application, the SP formulation type</w:t>
      </w:r>
      <w:r w:rsidR="00FE07F9">
        <w:t>, originally proposed</w:t>
      </w:r>
      <w:r>
        <w:t xml:space="preserve"> is not considered appropriate. For dossier requirement purposes, the product is assumed to be a DP (</w:t>
      </w:r>
      <w:proofErr w:type="spellStart"/>
      <w:r>
        <w:t>dustable</w:t>
      </w:r>
      <w:proofErr w:type="spellEnd"/>
      <w:r>
        <w:t xml:space="preserve"> powder).</w:t>
      </w:r>
    </w:p>
    <w:p w14:paraId="52FBBCD0" w14:textId="77777777" w:rsidR="00CF59EF" w:rsidRDefault="00CF59EF"/>
    <w:p w14:paraId="1E8762CA" w14:textId="77777777" w:rsidR="00CF59EF" w:rsidRDefault="000B5D37" w:rsidP="00172945">
      <w:pPr>
        <w:pStyle w:val="Heading2"/>
        <w:numPr>
          <w:ilvl w:val="2"/>
          <w:numId w:val="2"/>
        </w:numPr>
        <w:ind w:left="720"/>
      </w:pPr>
      <w:bookmarkStart w:id="47" w:name="_Toc531868632"/>
      <w:r>
        <w:t>Hazard and precautionary statements</w:t>
      </w:r>
      <w:bookmarkEnd w:id="47"/>
    </w:p>
    <w:p w14:paraId="4AE59016" w14:textId="77777777" w:rsidR="00CF59EF" w:rsidRDefault="000B5D37">
      <w:pPr>
        <w:rPr>
          <w:b/>
        </w:rPr>
      </w:pPr>
      <w:r>
        <w:rPr>
          <w:b/>
        </w:rPr>
        <w:t>Classification and labelling of the products of the family according to the Regulation (EC) 1272/2008</w:t>
      </w:r>
    </w:p>
    <w:p w14:paraId="63D57860" w14:textId="77777777" w:rsidR="00CF59EF" w:rsidRDefault="00CF59EF">
      <w:pPr>
        <w:tabs>
          <w:tab w:val="left" w:pos="500"/>
        </w:tabs>
        <w:ind w:left="500" w:hanging="500"/>
        <w:rPr>
          <w:b/>
          <w:bCs/>
          <w:szCs w:val="24"/>
          <w:lang w:eastAsia="en-GB"/>
        </w:rPr>
      </w:pPr>
    </w:p>
    <w:tbl>
      <w:tblPr>
        <w:tblW w:w="9015"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5" w:type="dxa"/>
        </w:tblCellMar>
        <w:tblLook w:val="04A0" w:firstRow="1" w:lastRow="0" w:firstColumn="1" w:lastColumn="0" w:noHBand="0" w:noVBand="1"/>
      </w:tblPr>
      <w:tblGrid>
        <w:gridCol w:w="2606"/>
        <w:gridCol w:w="6409"/>
      </w:tblGrid>
      <w:tr w:rsidR="00CF59EF" w14:paraId="08B16266" w14:textId="77777777">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0F77F9A8" w14:textId="77777777" w:rsidR="00CF59EF" w:rsidRDefault="000B5D37">
            <w:pPr>
              <w:rPr>
                <w:b/>
                <w:lang w:eastAsia="fi-FI"/>
              </w:rPr>
            </w:pPr>
            <w:r>
              <w:rPr>
                <w:b/>
                <w:lang w:eastAsia="en-US"/>
              </w:rPr>
              <w:t>Classification</w:t>
            </w:r>
          </w:p>
        </w:tc>
      </w:tr>
      <w:tr w:rsidR="00CF59EF" w14:paraId="55DD5A04"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181897A8" w14:textId="77777777" w:rsidR="00CF59EF" w:rsidRDefault="000B5D37">
            <w:pPr>
              <w:rPr>
                <w:lang w:eastAsia="fi-FI"/>
              </w:rPr>
            </w:pPr>
            <w:r>
              <w:rPr>
                <w:lang w:eastAsia="en-US"/>
              </w:rPr>
              <w:t>Hazard category</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027ECF24" w14:textId="77777777" w:rsidR="00CF59EF" w:rsidRDefault="000B5D37">
            <w:pPr>
              <w:rPr>
                <w:lang w:eastAsia="fi-FI"/>
              </w:rPr>
            </w:pPr>
            <w:r>
              <w:rPr>
                <w:lang w:eastAsia="fi-FI"/>
              </w:rPr>
              <w:t xml:space="preserve">Eye </w:t>
            </w:r>
            <w:proofErr w:type="spellStart"/>
            <w:r>
              <w:rPr>
                <w:lang w:eastAsia="fi-FI"/>
              </w:rPr>
              <w:t>Irrit</w:t>
            </w:r>
            <w:proofErr w:type="spellEnd"/>
            <w:r>
              <w:rPr>
                <w:lang w:eastAsia="fi-FI"/>
              </w:rPr>
              <w:t>. 2</w:t>
            </w:r>
          </w:p>
        </w:tc>
      </w:tr>
      <w:tr w:rsidR="00CF59EF" w14:paraId="548B94CE"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27D31F4D" w14:textId="77777777" w:rsidR="00CF59EF" w:rsidRDefault="000B5D37">
            <w:pPr>
              <w:rPr>
                <w:lang w:eastAsia="fi-FI"/>
              </w:rPr>
            </w:pPr>
            <w:r>
              <w:rPr>
                <w:lang w:eastAsia="en-US"/>
              </w:rPr>
              <w:t>Hazard statement</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6964A144" w14:textId="77777777" w:rsidR="00CF59EF" w:rsidRDefault="000B5D37">
            <w:pPr>
              <w:rPr>
                <w:lang w:eastAsia="fi-FI"/>
              </w:rPr>
            </w:pPr>
            <w:r>
              <w:rPr>
                <w:lang w:eastAsia="fi-FI"/>
              </w:rPr>
              <w:t>Causes serious eye irritation</w:t>
            </w:r>
          </w:p>
        </w:tc>
      </w:tr>
      <w:tr w:rsidR="00CF59EF" w14:paraId="50D7CEA8" w14:textId="77777777">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09D87A48" w14:textId="77777777" w:rsidR="00CF59EF" w:rsidRDefault="00CF59EF">
            <w:pPr>
              <w:rPr>
                <w:lang w:eastAsia="fi-FI"/>
              </w:rPr>
            </w:pPr>
          </w:p>
        </w:tc>
      </w:tr>
      <w:tr w:rsidR="00CF59EF" w14:paraId="1DDBCC7E" w14:textId="77777777">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021FED35" w14:textId="77777777" w:rsidR="00CF59EF" w:rsidRDefault="000B5D37">
            <w:pPr>
              <w:rPr>
                <w:b/>
                <w:lang w:eastAsia="fi-FI"/>
              </w:rPr>
            </w:pPr>
            <w:r>
              <w:rPr>
                <w:b/>
                <w:lang w:eastAsia="en-US"/>
              </w:rPr>
              <w:t>Labelling</w:t>
            </w:r>
          </w:p>
        </w:tc>
      </w:tr>
      <w:tr w:rsidR="00CF59EF" w14:paraId="49FF387F"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1440C722" w14:textId="77777777" w:rsidR="00CF59EF" w:rsidRDefault="000B5D37">
            <w:pPr>
              <w:rPr>
                <w:lang w:eastAsia="en-US"/>
              </w:rPr>
            </w:pPr>
            <w:r>
              <w:rPr>
                <w:lang w:eastAsia="en-US"/>
              </w:rPr>
              <w:t>Signal words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1424272A" w14:textId="77777777" w:rsidR="00CF59EF" w:rsidRDefault="000B5D37">
            <w:pPr>
              <w:rPr>
                <w:lang w:eastAsia="fi-FI"/>
              </w:rPr>
            </w:pPr>
            <w:r>
              <w:rPr>
                <w:lang w:eastAsia="fi-FI"/>
              </w:rPr>
              <w:t>Warning</w:t>
            </w:r>
          </w:p>
        </w:tc>
      </w:tr>
      <w:tr w:rsidR="00CF59EF" w14:paraId="6071A437"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5F27297D" w14:textId="77777777" w:rsidR="00CF59EF" w:rsidRDefault="000B5D37">
            <w:pPr>
              <w:rPr>
                <w:lang w:eastAsia="en-US"/>
              </w:rPr>
            </w:pPr>
            <w:r>
              <w:rPr>
                <w:lang w:eastAsia="en-US"/>
              </w:rPr>
              <w:t>Hazard statements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7C6F99F1" w14:textId="77777777" w:rsidR="00CF59EF" w:rsidRDefault="000B5D37">
            <w:pPr>
              <w:rPr>
                <w:lang w:eastAsia="fi-FI"/>
              </w:rPr>
            </w:pPr>
            <w:r>
              <w:rPr>
                <w:lang w:eastAsia="fi-FI"/>
              </w:rPr>
              <w:t>H319: Causes serious eye irritation</w:t>
            </w:r>
          </w:p>
        </w:tc>
      </w:tr>
      <w:tr w:rsidR="00CF59EF" w14:paraId="638CEE77"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02B5C0F4" w14:textId="77777777" w:rsidR="00CF59EF" w:rsidRDefault="000B5D37">
            <w:pPr>
              <w:rPr>
                <w:lang w:eastAsia="en-US"/>
              </w:rPr>
            </w:pPr>
            <w:r>
              <w:rPr>
                <w:lang w:eastAsia="en-US"/>
              </w:rPr>
              <w:t>Precautionary statements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11B8047F" w14:textId="77777777" w:rsidR="00CF59EF" w:rsidRDefault="000B5D37">
            <w:pPr>
              <w:rPr>
                <w:lang w:eastAsia="fi-FI"/>
              </w:rPr>
            </w:pPr>
            <w:r>
              <w:rPr>
                <w:lang w:eastAsia="fi-FI"/>
              </w:rPr>
              <w:t>P264: Wash hands thoroughly after handling</w:t>
            </w:r>
          </w:p>
          <w:p w14:paraId="5B9123ED" w14:textId="636CC50A" w:rsidR="00CF59EF" w:rsidRDefault="000B5D37">
            <w:pPr>
              <w:rPr>
                <w:lang w:eastAsia="fi-FI"/>
              </w:rPr>
            </w:pPr>
            <w:r>
              <w:rPr>
                <w:lang w:eastAsia="fi-FI"/>
              </w:rPr>
              <w:t>P280</w:t>
            </w:r>
            <w:r w:rsidR="00405351" w:rsidRPr="00405351">
              <w:rPr>
                <w:strike/>
                <w:highlight w:val="yellow"/>
                <w:lang w:eastAsia="fi-FI"/>
              </w:rPr>
              <w:t>g</w:t>
            </w:r>
            <w:r>
              <w:rPr>
                <w:lang w:eastAsia="fi-FI"/>
              </w:rPr>
              <w:t>: Wear eye</w:t>
            </w:r>
            <w:bookmarkStart w:id="48" w:name="_GoBack"/>
            <w:bookmarkEnd w:id="48"/>
            <w:r>
              <w:rPr>
                <w:lang w:eastAsia="fi-FI"/>
              </w:rPr>
              <w:t xml:space="preserve"> protection</w:t>
            </w:r>
          </w:p>
          <w:p w14:paraId="6A1C16E2" w14:textId="77777777" w:rsidR="00CF59EF" w:rsidRDefault="000B5D37">
            <w:pPr>
              <w:rPr>
                <w:lang w:eastAsia="fi-FI"/>
              </w:rPr>
            </w:pPr>
            <w:r>
              <w:rPr>
                <w:lang w:eastAsia="fi-FI"/>
              </w:rPr>
              <w:t>P305+P351+P338: IF IN EYES: Rinse cautiously with water for several minutes. Remove contact lenses, if present and easy to do. Continue rinsing</w:t>
            </w:r>
          </w:p>
          <w:p w14:paraId="52A6C97F" w14:textId="77777777" w:rsidR="00CF59EF" w:rsidRDefault="000B5D37">
            <w:pPr>
              <w:rPr>
                <w:lang w:eastAsia="fi-FI"/>
              </w:rPr>
            </w:pPr>
            <w:r>
              <w:rPr>
                <w:lang w:eastAsia="fi-FI"/>
              </w:rPr>
              <w:t>P337+P313: If eye irritation persists: Get medical advice/attention</w:t>
            </w:r>
          </w:p>
        </w:tc>
      </w:tr>
      <w:tr w:rsidR="00CF59EF" w14:paraId="3E3E62C3" w14:textId="77777777">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30A54990" w14:textId="77777777" w:rsidR="00CF59EF" w:rsidRDefault="000B5D37">
            <w:pPr>
              <w:rPr>
                <w:lang w:eastAsia="fi-FI"/>
              </w:rPr>
            </w:pPr>
            <w:r>
              <w:rPr>
                <w:lang w:eastAsia="en-US"/>
              </w:rPr>
              <w:t>Note</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14:paraId="5003D63B" w14:textId="77777777" w:rsidR="00CF59EF" w:rsidRDefault="000B5D37">
            <w:pPr>
              <w:rPr>
                <w:b/>
                <w:lang w:eastAsia="fi-FI"/>
              </w:rPr>
            </w:pPr>
            <w:r>
              <w:rPr>
                <w:b/>
                <w:lang w:eastAsia="fi-FI"/>
              </w:rPr>
              <w:t xml:space="preserve">- </w:t>
            </w:r>
          </w:p>
        </w:tc>
      </w:tr>
    </w:tbl>
    <w:p w14:paraId="7A5F97B2" w14:textId="77777777" w:rsidR="00CF59EF" w:rsidRDefault="00CF59EF">
      <w:pPr>
        <w:tabs>
          <w:tab w:val="left" w:pos="500"/>
        </w:tabs>
        <w:ind w:left="500" w:hanging="500"/>
      </w:pPr>
    </w:p>
    <w:p w14:paraId="404B8518" w14:textId="77777777" w:rsidR="00CF59EF" w:rsidRDefault="00CF59EF"/>
    <w:p w14:paraId="2C3DC642" w14:textId="77777777" w:rsidR="00CF59EF" w:rsidRDefault="000B5D37" w:rsidP="00172945">
      <w:pPr>
        <w:pStyle w:val="Heading2"/>
        <w:numPr>
          <w:ilvl w:val="2"/>
          <w:numId w:val="2"/>
        </w:numPr>
        <w:ind w:left="720"/>
      </w:pPr>
      <w:bookmarkStart w:id="49" w:name="_Toc531868633"/>
      <w:r>
        <w:t>Authorised use(s)</w:t>
      </w:r>
      <w:bookmarkEnd w:id="49"/>
    </w:p>
    <w:p w14:paraId="58EB91F7" w14:textId="77777777" w:rsidR="00CF59EF" w:rsidRDefault="000B5D37" w:rsidP="00FD395A">
      <w:pPr>
        <w:pStyle w:val="Heading3"/>
      </w:pPr>
      <w:bookmarkStart w:id="50" w:name="_Toc531868634"/>
      <w:r>
        <w:t xml:space="preserve">Use </w:t>
      </w:r>
      <w:proofErr w:type="spellStart"/>
      <w:r>
        <w:t>description</w:t>
      </w:r>
      <w:bookmarkEnd w:id="50"/>
      <w:proofErr w:type="spellEnd"/>
    </w:p>
    <w:p w14:paraId="604B8F37" w14:textId="77777777" w:rsidR="00CF59EF" w:rsidRDefault="000B5D37">
      <w:pPr>
        <w:pStyle w:val="Caption"/>
        <w:spacing w:after="120"/>
      </w:pPr>
      <w:r>
        <w:rPr>
          <w:rFonts w:ascii="Verdana" w:hAnsi="Verdana"/>
        </w:rPr>
        <w:t xml:space="preserve">Table </w:t>
      </w:r>
      <w:r>
        <w:rPr>
          <w:rFonts w:ascii="Verdana" w:hAnsi="Verdana"/>
        </w:rPr>
        <w:fldChar w:fldCharType="begin"/>
      </w:r>
      <w:r>
        <w:instrText>SEQ Tabel \* ARABIC</w:instrText>
      </w:r>
      <w:r>
        <w:fldChar w:fldCharType="separate"/>
      </w:r>
      <w:r w:rsidR="006D2428">
        <w:rPr>
          <w:noProof/>
        </w:rPr>
        <w:t>1</w:t>
      </w:r>
      <w:r>
        <w:fldChar w:fldCharType="end"/>
      </w:r>
      <w:r>
        <w:rPr>
          <w:rFonts w:ascii="Verdana" w:hAnsi="Verdana"/>
        </w:rPr>
        <w:t>. Use # 1 – In-can preservative</w:t>
      </w:r>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2707"/>
        <w:gridCol w:w="6318"/>
      </w:tblGrid>
      <w:tr w:rsidR="00CF59EF" w14:paraId="16BA6D07" w14:textId="77777777">
        <w:tc>
          <w:tcPr>
            <w:tcW w:w="270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DC20CB1" w14:textId="77777777" w:rsidR="00CF59EF" w:rsidRDefault="000B5D37">
            <w:pPr>
              <w:rPr>
                <w:b/>
              </w:rPr>
            </w:pPr>
            <w:r>
              <w:rPr>
                <w:b/>
                <w:bCs/>
                <w:szCs w:val="24"/>
                <w:lang w:eastAsia="en-GB"/>
              </w:rPr>
              <w:t>Product Type</w:t>
            </w:r>
          </w:p>
        </w:tc>
        <w:tc>
          <w:tcPr>
            <w:tcW w:w="6317" w:type="dxa"/>
            <w:tcBorders>
              <w:top w:val="single" w:sz="4" w:space="0" w:color="000001"/>
              <w:bottom w:val="single" w:sz="4" w:space="0" w:color="000001"/>
              <w:right w:val="single" w:sz="4" w:space="0" w:color="000001"/>
            </w:tcBorders>
            <w:shd w:val="clear" w:color="auto" w:fill="auto"/>
          </w:tcPr>
          <w:p w14:paraId="286DC8BB" w14:textId="77777777" w:rsidR="00CF59EF" w:rsidRDefault="000B5D37">
            <w:r>
              <w:t>PT 6</w:t>
            </w:r>
          </w:p>
        </w:tc>
      </w:tr>
      <w:tr w:rsidR="00CF59EF" w14:paraId="18AABA15"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08F556C6" w14:textId="77777777" w:rsidR="00CF59EF" w:rsidRDefault="000B5D37">
            <w:pPr>
              <w:rPr>
                <w:b/>
              </w:rPr>
            </w:pPr>
            <w:r>
              <w:rPr>
                <w:b/>
                <w:bCs/>
                <w:szCs w:val="24"/>
                <w:lang w:eastAsia="en-GB"/>
              </w:rPr>
              <w:t>Where relevant, an exact description of the authorised use</w:t>
            </w:r>
          </w:p>
        </w:tc>
        <w:tc>
          <w:tcPr>
            <w:tcW w:w="6317" w:type="dxa"/>
            <w:tcBorders>
              <w:bottom w:val="single" w:sz="4" w:space="0" w:color="000001"/>
              <w:right w:val="single" w:sz="4" w:space="0" w:color="000001"/>
            </w:tcBorders>
            <w:shd w:val="clear" w:color="auto" w:fill="auto"/>
          </w:tcPr>
          <w:p w14:paraId="470EAA5E" w14:textId="77777777" w:rsidR="00CF59EF" w:rsidRDefault="00CF59EF"/>
        </w:tc>
      </w:tr>
      <w:tr w:rsidR="00CF59EF" w14:paraId="20493371"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68B17A9D" w14:textId="77777777" w:rsidR="00CF59EF" w:rsidRDefault="000B5D37">
            <w:pPr>
              <w:rPr>
                <w:b/>
              </w:rPr>
            </w:pPr>
            <w:r>
              <w:rPr>
                <w:b/>
                <w:bCs/>
                <w:szCs w:val="24"/>
                <w:lang w:eastAsia="en-GB"/>
              </w:rPr>
              <w:t>Target organism (including development stage)</w:t>
            </w:r>
          </w:p>
        </w:tc>
        <w:tc>
          <w:tcPr>
            <w:tcW w:w="6317" w:type="dxa"/>
            <w:tcBorders>
              <w:bottom w:val="single" w:sz="4" w:space="0" w:color="000001"/>
              <w:right w:val="single" w:sz="4" w:space="0" w:color="000001"/>
            </w:tcBorders>
            <w:shd w:val="clear" w:color="auto" w:fill="auto"/>
          </w:tcPr>
          <w:p w14:paraId="7BB9C1B5" w14:textId="77777777" w:rsidR="00CF59EF" w:rsidRDefault="000B5D37" w:rsidP="00665F44">
            <w:r>
              <w:t xml:space="preserve">Bacteria, yeasts </w:t>
            </w:r>
          </w:p>
        </w:tc>
      </w:tr>
      <w:tr w:rsidR="00CF59EF" w14:paraId="3AFACDDB"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3347451A" w14:textId="77777777" w:rsidR="00CF59EF" w:rsidRDefault="000B5D37">
            <w:pPr>
              <w:rPr>
                <w:b/>
              </w:rPr>
            </w:pPr>
            <w:r>
              <w:rPr>
                <w:b/>
                <w:bCs/>
                <w:szCs w:val="24"/>
                <w:lang w:eastAsia="en-GB"/>
              </w:rPr>
              <w:lastRenderedPageBreak/>
              <w:t>Field of use</w:t>
            </w:r>
          </w:p>
        </w:tc>
        <w:tc>
          <w:tcPr>
            <w:tcW w:w="6317" w:type="dxa"/>
            <w:tcBorders>
              <w:bottom w:val="single" w:sz="4" w:space="0" w:color="000001"/>
              <w:right w:val="single" w:sz="4" w:space="0" w:color="000001"/>
            </w:tcBorders>
            <w:shd w:val="clear" w:color="auto" w:fill="auto"/>
          </w:tcPr>
          <w:p w14:paraId="5032C21F" w14:textId="77777777" w:rsidR="00CF59EF" w:rsidRDefault="000B5D37">
            <w:r>
              <w:t>Indoor</w:t>
            </w:r>
          </w:p>
          <w:p w14:paraId="464E0AA2" w14:textId="77777777" w:rsidR="00CF59EF" w:rsidRDefault="000B5D37" w:rsidP="008A408B">
            <w:r>
              <w:t>In-can preservation of dishwashing liquids, laundry products and cleaning liquids</w:t>
            </w:r>
          </w:p>
        </w:tc>
      </w:tr>
      <w:tr w:rsidR="00CF59EF" w14:paraId="147AFF46"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42B81EB4" w14:textId="77777777" w:rsidR="00CF59EF" w:rsidRDefault="000B5D37">
            <w:pPr>
              <w:rPr>
                <w:b/>
              </w:rPr>
            </w:pPr>
            <w:r>
              <w:rPr>
                <w:b/>
                <w:bCs/>
                <w:szCs w:val="24"/>
                <w:lang w:eastAsia="en-GB"/>
              </w:rPr>
              <w:t>Application method(s)</w:t>
            </w:r>
          </w:p>
        </w:tc>
        <w:tc>
          <w:tcPr>
            <w:tcW w:w="6317" w:type="dxa"/>
            <w:tcBorders>
              <w:bottom w:val="single" w:sz="4" w:space="0" w:color="000001"/>
              <w:right w:val="single" w:sz="4" w:space="0" w:color="000001"/>
            </w:tcBorders>
            <w:shd w:val="clear" w:color="auto" w:fill="auto"/>
          </w:tcPr>
          <w:p w14:paraId="2C7EB88F" w14:textId="77777777" w:rsidR="00CF59EF" w:rsidRDefault="000B5D37">
            <w:r>
              <w:t>Automated or manual dosing during production</w:t>
            </w:r>
          </w:p>
        </w:tc>
      </w:tr>
      <w:tr w:rsidR="00CF59EF" w14:paraId="29926335"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4D9FD22E" w14:textId="77777777" w:rsidR="00CF59EF" w:rsidRDefault="000B5D37">
            <w:pPr>
              <w:rPr>
                <w:b/>
              </w:rPr>
            </w:pPr>
            <w:r>
              <w:rPr>
                <w:b/>
                <w:bCs/>
                <w:szCs w:val="24"/>
                <w:lang w:eastAsia="en-GB"/>
              </w:rPr>
              <w:t>Application rate(s) and frequency</w:t>
            </w:r>
          </w:p>
        </w:tc>
        <w:tc>
          <w:tcPr>
            <w:tcW w:w="6317" w:type="dxa"/>
            <w:tcBorders>
              <w:bottom w:val="single" w:sz="4" w:space="0" w:color="000001"/>
              <w:right w:val="single" w:sz="4" w:space="0" w:color="000001"/>
            </w:tcBorders>
            <w:shd w:val="clear" w:color="auto" w:fill="auto"/>
          </w:tcPr>
          <w:p w14:paraId="074F1FEE" w14:textId="77777777" w:rsidR="00CF59EF" w:rsidRDefault="000B5D37">
            <w:pPr>
              <w:rPr>
                <w:rFonts w:cs="Arial"/>
                <w:bCs/>
                <w:lang w:val="en-US"/>
              </w:rPr>
            </w:pPr>
            <w:r>
              <w:rPr>
                <w:rFonts w:cs="Arial"/>
                <w:bCs/>
                <w:lang w:val="en-US"/>
              </w:rPr>
              <w:t>The product is ready-to-use.</w:t>
            </w:r>
          </w:p>
          <w:p w14:paraId="0188B28D" w14:textId="77777777" w:rsidR="00CF59EF" w:rsidRDefault="000B5D37">
            <w:pPr>
              <w:rPr>
                <w:rFonts w:cs="Arial"/>
                <w:bCs/>
                <w:lang w:val="en-US"/>
              </w:rPr>
            </w:pPr>
            <w:r>
              <w:rPr>
                <w:rFonts w:cs="Arial"/>
                <w:bCs/>
                <w:i/>
                <w:lang w:val="en-US"/>
              </w:rPr>
              <w:t>Application rate:</w:t>
            </w:r>
            <w:r>
              <w:rPr>
                <w:rFonts w:cs="Arial"/>
                <w:bCs/>
                <w:lang w:val="en-US"/>
              </w:rPr>
              <w:t xml:space="preserve"> </w:t>
            </w:r>
            <w:r w:rsidR="00084A8D">
              <w:rPr>
                <w:rFonts w:cs="Arial"/>
                <w:bCs/>
                <w:lang w:val="en-US"/>
              </w:rPr>
              <w:t>5</w:t>
            </w:r>
            <w:r>
              <w:rPr>
                <w:rFonts w:cs="Arial"/>
                <w:bCs/>
                <w:lang w:val="en-US"/>
              </w:rPr>
              <w:t>-2</w:t>
            </w:r>
            <w:r w:rsidR="00920AA1">
              <w:rPr>
                <w:rFonts w:cs="Arial"/>
                <w:bCs/>
                <w:lang w:val="en-US"/>
              </w:rPr>
              <w:t>9</w:t>
            </w:r>
            <w:r w:rsidR="00184B79">
              <w:rPr>
                <w:rFonts w:cs="Arial"/>
                <w:bCs/>
                <w:lang w:val="en-US"/>
              </w:rPr>
              <w:t>.</w:t>
            </w:r>
            <w:r w:rsidR="00920AA1">
              <w:rPr>
                <w:rFonts w:cs="Arial"/>
                <w:bCs/>
                <w:lang w:val="en-US"/>
              </w:rPr>
              <w:t>5</w:t>
            </w:r>
            <w:r w:rsidR="009B7D2C">
              <w:rPr>
                <w:rFonts w:cs="Arial"/>
                <w:bCs/>
                <w:lang w:val="en-US"/>
              </w:rPr>
              <w:t xml:space="preserve"> </w:t>
            </w:r>
            <w:r w:rsidR="00084A8D">
              <w:rPr>
                <w:rFonts w:cs="Arial"/>
                <w:bCs/>
                <w:lang w:val="en-US"/>
              </w:rPr>
              <w:t>g sodium benzoate per L matrix</w:t>
            </w:r>
            <w:r w:rsidR="00E71CBB">
              <w:rPr>
                <w:rFonts w:cs="Arial"/>
                <w:bCs/>
                <w:lang w:val="en-US"/>
              </w:rPr>
              <w:t xml:space="preserve"> (corresponding to 0.42-2.5% benzoic acid).</w:t>
            </w:r>
            <w:r w:rsidR="00E71CBB" w:rsidRPr="00084A8D" w:rsidDel="003A5B73">
              <w:t xml:space="preserve"> </w:t>
            </w:r>
            <w:r w:rsidR="00225BBE">
              <w:rPr>
                <w:rFonts w:cs="Arial"/>
                <w:bCs/>
                <w:lang w:val="en-US"/>
              </w:rPr>
              <w:t xml:space="preserve"> </w:t>
            </w:r>
          </w:p>
          <w:p w14:paraId="74366A77" w14:textId="77777777" w:rsidR="00A80FE0" w:rsidRDefault="00A80FE0">
            <w:pPr>
              <w:rPr>
                <w:rFonts w:cs="Arial"/>
                <w:bCs/>
                <w:lang w:val="en-US"/>
              </w:rPr>
            </w:pPr>
            <w:r w:rsidRPr="00B50811">
              <w:rPr>
                <w:rFonts w:eastAsia="Calibri"/>
                <w:iCs/>
                <w:szCs w:val="24"/>
                <w:lang w:eastAsia="en-US"/>
              </w:rPr>
              <w:t>Assure that the final formulation does not exceed pH 6, since the preventive properties of the active substance against growth of microorganisms diminishes at pH above 7.</w:t>
            </w:r>
          </w:p>
          <w:p w14:paraId="669F4D9E" w14:textId="77777777" w:rsidR="00A80FE0" w:rsidRDefault="00A80FE0">
            <w:pPr>
              <w:rPr>
                <w:rFonts w:cs="Arial"/>
                <w:bCs/>
                <w:lang w:val="en-US"/>
              </w:rPr>
            </w:pPr>
          </w:p>
          <w:p w14:paraId="08718B7B" w14:textId="77777777" w:rsidR="00CF59EF" w:rsidRDefault="000B5D37">
            <w:pPr>
              <w:rPr>
                <w:color w:val="000000"/>
              </w:rPr>
            </w:pPr>
            <w:r>
              <w:rPr>
                <w:color w:val="000000"/>
              </w:rPr>
              <w:t>The dose strongly depends on the formulation and intended use of the product to which the preservative is added. Therefore, the user should determine dosage requirements for their specific matrix/system to be preserved. The lowest effective dose should be used.</w:t>
            </w:r>
          </w:p>
          <w:p w14:paraId="0700A270" w14:textId="77777777" w:rsidR="00CF59EF" w:rsidRDefault="00CF59EF">
            <w:pPr>
              <w:rPr>
                <w:rFonts w:cs="Arial"/>
                <w:bCs/>
                <w:lang w:val="en-US"/>
              </w:rPr>
            </w:pPr>
          </w:p>
          <w:p w14:paraId="3E64515E" w14:textId="77777777" w:rsidR="00CF59EF" w:rsidRDefault="000B5D37" w:rsidP="00244210">
            <w:r>
              <w:rPr>
                <w:rFonts w:cs="Arial"/>
                <w:bCs/>
                <w:lang w:val="en-US"/>
              </w:rPr>
              <w:t>Frequency: The product is added to the articles to be preserved once during their manufacture. F</w:t>
            </w:r>
            <w:proofErr w:type="spellStart"/>
            <w:r>
              <w:rPr>
                <w:rFonts w:cs="Arial"/>
                <w:bCs/>
              </w:rPr>
              <w:t>illing</w:t>
            </w:r>
            <w:proofErr w:type="spellEnd"/>
            <w:r>
              <w:rPr>
                <w:rFonts w:cs="Arial"/>
                <w:bCs/>
              </w:rPr>
              <w:t xml:space="preserve"> of dosage systems used to add the product to the </w:t>
            </w:r>
            <w:r w:rsidR="00244210">
              <w:rPr>
                <w:rFonts w:cs="Arial"/>
                <w:bCs/>
              </w:rPr>
              <w:t xml:space="preserve">matrix </w:t>
            </w:r>
            <w:r>
              <w:rPr>
                <w:rFonts w:cs="Arial"/>
                <w:bCs/>
              </w:rPr>
              <w:t>is dependent on production schedule and layout of the factory, but typically in the range of once a week/month to multiple times per day.</w:t>
            </w:r>
          </w:p>
        </w:tc>
      </w:tr>
      <w:tr w:rsidR="00CF59EF" w14:paraId="10F3B560"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6FF4BCD8" w14:textId="77777777" w:rsidR="00CF59EF" w:rsidRDefault="000B5D37">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17" w:type="dxa"/>
            <w:tcBorders>
              <w:bottom w:val="single" w:sz="4" w:space="0" w:color="000001"/>
              <w:right w:val="single" w:sz="4" w:space="0" w:color="000001"/>
            </w:tcBorders>
            <w:shd w:val="clear" w:color="auto" w:fill="auto"/>
          </w:tcPr>
          <w:p w14:paraId="1AFDAD72" w14:textId="77777777" w:rsidR="00CF59EF" w:rsidRDefault="006E7D34">
            <w:r>
              <w:t>Industrial</w:t>
            </w:r>
          </w:p>
        </w:tc>
      </w:tr>
      <w:tr w:rsidR="00CF59EF" w14:paraId="473BD1A6"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7081D7DF" w14:textId="77777777" w:rsidR="00CF59EF" w:rsidRDefault="000B5D37">
            <w:pPr>
              <w:rPr>
                <w:b/>
              </w:rPr>
            </w:pPr>
            <w:r>
              <w:rPr>
                <w:b/>
                <w:bCs/>
                <w:szCs w:val="24"/>
                <w:lang w:eastAsia="en-GB"/>
              </w:rPr>
              <w:t>Pack sizes and packaging material</w:t>
            </w:r>
          </w:p>
        </w:tc>
        <w:tc>
          <w:tcPr>
            <w:tcW w:w="6317" w:type="dxa"/>
            <w:tcBorders>
              <w:bottom w:val="single" w:sz="4" w:space="0" w:color="000001"/>
              <w:right w:val="single" w:sz="4" w:space="0" w:color="000001"/>
            </w:tcBorders>
            <w:shd w:val="clear" w:color="auto" w:fill="auto"/>
          </w:tcPr>
          <w:p w14:paraId="40438876" w14:textId="77777777" w:rsidR="00CF59EF" w:rsidRDefault="000B5D37">
            <w:pPr>
              <w:rPr>
                <w:rFonts w:cs="Arial"/>
                <w:bCs/>
              </w:rPr>
            </w:pPr>
            <w:r>
              <w:rPr>
                <w:rFonts w:cs="Arial"/>
                <w:bCs/>
              </w:rPr>
              <w:t>Bags 25 kg, polyethylene</w:t>
            </w:r>
          </w:p>
          <w:p w14:paraId="79D6F9D8" w14:textId="77777777" w:rsidR="00CF59EF" w:rsidRDefault="000B5D37">
            <w:r>
              <w:rPr>
                <w:rFonts w:cs="Arial"/>
                <w:bCs/>
              </w:rPr>
              <w:t xml:space="preserve">Bags </w:t>
            </w:r>
            <w:r>
              <w:t>500 kg, 650 kg, 1000 kg, polypropylene</w:t>
            </w:r>
          </w:p>
        </w:tc>
      </w:tr>
    </w:tbl>
    <w:p w14:paraId="5CE6A2A6" w14:textId="77777777" w:rsidR="00CF59EF" w:rsidRPr="00EB287D" w:rsidRDefault="000B5D37" w:rsidP="00FD395A">
      <w:pPr>
        <w:pStyle w:val="Heading3"/>
        <w:rPr>
          <w:lang w:val="en-US"/>
        </w:rPr>
      </w:pPr>
      <w:bookmarkStart w:id="51" w:name="_Toc531868635"/>
      <w:r w:rsidRPr="00EB287D">
        <w:rPr>
          <w:lang w:val="en-US"/>
        </w:rPr>
        <w:t>Use-specific instructions for use</w:t>
      </w:r>
      <w:bookmarkEnd w:id="51"/>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256E487D"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6FA8FE0" w14:textId="77777777" w:rsidR="00CF59EF" w:rsidRDefault="000B5D37" w:rsidP="00FD395A">
            <w:pPr>
              <w:widowControl w:val="0"/>
              <w:spacing w:before="80" w:after="120"/>
              <w:rPr>
                <w:rFonts w:cs="Times"/>
                <w:bCs/>
                <w:szCs w:val="29"/>
              </w:rPr>
            </w:pPr>
            <w:r>
              <w:rPr>
                <w:rFonts w:cs="Times"/>
                <w:bCs/>
                <w:szCs w:val="29"/>
              </w:rPr>
              <w:t>See section 2.1.</w:t>
            </w:r>
            <w:r w:rsidR="00276498">
              <w:rPr>
                <w:rFonts w:cs="Times"/>
                <w:bCs/>
                <w:szCs w:val="29"/>
              </w:rPr>
              <w:t>5</w:t>
            </w:r>
          </w:p>
        </w:tc>
      </w:tr>
    </w:tbl>
    <w:p w14:paraId="12DF9B29" w14:textId="77777777" w:rsidR="00EB287D" w:rsidRDefault="00EB287D" w:rsidP="00EB287D"/>
    <w:p w14:paraId="27502CC4" w14:textId="77777777" w:rsidR="00CF59EF" w:rsidRPr="00EB287D" w:rsidRDefault="000B5D37" w:rsidP="00FD395A">
      <w:pPr>
        <w:pStyle w:val="Heading3"/>
        <w:rPr>
          <w:lang w:val="en-US"/>
        </w:rPr>
      </w:pPr>
      <w:bookmarkStart w:id="52" w:name="_Toc531868636"/>
      <w:r w:rsidRPr="00EB287D">
        <w:rPr>
          <w:lang w:val="en-US"/>
        </w:rPr>
        <w:t>Use-specific risk mitigation measures</w:t>
      </w:r>
      <w:bookmarkEnd w:id="52"/>
      <w:r w:rsidRPr="00EB287D">
        <w:rPr>
          <w:lang w:val="en-US"/>
        </w:rPr>
        <w:t xml:space="preserve"> </w:t>
      </w:r>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1F836198"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9D22FDF" w14:textId="77777777" w:rsidR="00CF59EF" w:rsidRDefault="00FD395A" w:rsidP="00FD395A">
            <w:pPr>
              <w:widowControl w:val="0"/>
              <w:spacing w:before="80" w:after="120"/>
              <w:rPr>
                <w:rFonts w:cs="Times"/>
                <w:bCs/>
                <w:szCs w:val="29"/>
              </w:rPr>
            </w:pPr>
            <w:r>
              <w:rPr>
                <w:rFonts w:cs="Times"/>
                <w:bCs/>
                <w:szCs w:val="29"/>
              </w:rPr>
              <w:t>See section 2.1.5</w:t>
            </w:r>
          </w:p>
        </w:tc>
      </w:tr>
    </w:tbl>
    <w:p w14:paraId="0E43C70F" w14:textId="77777777" w:rsidR="00EB287D" w:rsidRDefault="00EB287D" w:rsidP="00EB287D"/>
    <w:p w14:paraId="59383ED3" w14:textId="77777777" w:rsidR="00CF59EF" w:rsidRPr="00EB287D" w:rsidRDefault="000B5D37" w:rsidP="00FD395A">
      <w:pPr>
        <w:pStyle w:val="Heading3"/>
        <w:rPr>
          <w:lang w:val="en-US"/>
        </w:rPr>
      </w:pPr>
      <w:bookmarkStart w:id="53" w:name="_Toc531868637"/>
      <w:r w:rsidRPr="00EB287D">
        <w:rPr>
          <w:lang w:val="en-US"/>
        </w:rPr>
        <w:t>Where specific to the use, the particulars of likely direct or indirect effects, first aid instructions and emergency measures to protect the environment</w:t>
      </w:r>
      <w:bookmarkEnd w:id="53"/>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68D51BA4"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5DCEFD37" w14:textId="77777777" w:rsidR="00CF59EF" w:rsidRDefault="00FD395A" w:rsidP="00FD395A">
            <w:pPr>
              <w:widowControl w:val="0"/>
              <w:spacing w:before="80" w:after="120"/>
              <w:rPr>
                <w:rFonts w:cs="Times"/>
                <w:bCs/>
                <w:szCs w:val="29"/>
              </w:rPr>
            </w:pPr>
            <w:r>
              <w:rPr>
                <w:rFonts w:cs="Times"/>
                <w:bCs/>
                <w:szCs w:val="29"/>
              </w:rPr>
              <w:t>See section 2.1.5</w:t>
            </w:r>
          </w:p>
        </w:tc>
      </w:tr>
    </w:tbl>
    <w:p w14:paraId="52925BA9" w14:textId="77777777" w:rsidR="00EB287D" w:rsidRDefault="00EB287D" w:rsidP="00EB287D">
      <w:bookmarkStart w:id="54" w:name="_Toc416859532"/>
    </w:p>
    <w:p w14:paraId="53D3509D" w14:textId="77777777" w:rsidR="00CF59EF" w:rsidRPr="00EB287D" w:rsidRDefault="000B5D37" w:rsidP="00FD395A">
      <w:pPr>
        <w:pStyle w:val="Heading3"/>
        <w:rPr>
          <w:lang w:val="en-US"/>
        </w:rPr>
      </w:pPr>
      <w:bookmarkStart w:id="55" w:name="_Toc531868638"/>
      <w:r w:rsidRPr="00EB287D">
        <w:rPr>
          <w:lang w:val="en-US"/>
        </w:rPr>
        <w:t>Where specific to the use, the instructions for safe disposal of the product and its packaging</w:t>
      </w:r>
      <w:bookmarkEnd w:id="54"/>
      <w:bookmarkEnd w:id="55"/>
      <w:r w:rsidRPr="00EB287D">
        <w:rPr>
          <w:lang w:val="en-US"/>
        </w:rPr>
        <w:t xml:space="preserve"> </w:t>
      </w:r>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61BBA63E"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CC8784A" w14:textId="77777777" w:rsidR="00CF59EF" w:rsidRDefault="00FD395A" w:rsidP="00FD395A">
            <w:pPr>
              <w:widowControl w:val="0"/>
              <w:spacing w:before="80" w:after="120"/>
              <w:rPr>
                <w:rFonts w:cs="Times"/>
                <w:bCs/>
                <w:szCs w:val="29"/>
              </w:rPr>
            </w:pPr>
            <w:r>
              <w:rPr>
                <w:rFonts w:cs="Times"/>
                <w:bCs/>
                <w:szCs w:val="29"/>
              </w:rPr>
              <w:t>See section 2.1.5</w:t>
            </w:r>
          </w:p>
        </w:tc>
      </w:tr>
    </w:tbl>
    <w:p w14:paraId="76E57FFF" w14:textId="77777777" w:rsidR="00CF59EF" w:rsidRDefault="00CF59EF">
      <w:pPr>
        <w:widowControl w:val="0"/>
        <w:rPr>
          <w:rFonts w:cs="Times"/>
          <w:bCs/>
          <w:szCs w:val="29"/>
        </w:rPr>
      </w:pPr>
    </w:p>
    <w:p w14:paraId="5D6C53EB" w14:textId="77777777" w:rsidR="00CF59EF" w:rsidRPr="00EB287D" w:rsidRDefault="000B5D37" w:rsidP="00FD395A">
      <w:pPr>
        <w:pStyle w:val="Heading3"/>
        <w:rPr>
          <w:lang w:val="en-US"/>
        </w:rPr>
      </w:pPr>
      <w:bookmarkStart w:id="56" w:name="_Toc416859533"/>
      <w:bookmarkStart w:id="57" w:name="_Toc531868639"/>
      <w:bookmarkEnd w:id="56"/>
      <w:r w:rsidRPr="00EB287D">
        <w:rPr>
          <w:lang w:val="en-US"/>
        </w:rPr>
        <w:t>Where specific to the use, the conditions of storage and shelf-life of the product under normal conditions of storage</w:t>
      </w:r>
      <w:bookmarkEnd w:id="57"/>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60E92451"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FDC48FF" w14:textId="77777777" w:rsidR="00CF59EF" w:rsidRDefault="00FD395A" w:rsidP="00FD395A">
            <w:pPr>
              <w:widowControl w:val="0"/>
              <w:spacing w:before="80" w:after="120"/>
              <w:rPr>
                <w:rFonts w:cs="Times"/>
                <w:bCs/>
                <w:szCs w:val="29"/>
              </w:rPr>
            </w:pPr>
            <w:r>
              <w:rPr>
                <w:rFonts w:cs="Times"/>
                <w:bCs/>
                <w:szCs w:val="29"/>
              </w:rPr>
              <w:t>See section 2.1.5</w:t>
            </w:r>
          </w:p>
        </w:tc>
      </w:tr>
    </w:tbl>
    <w:p w14:paraId="6B2334C7" w14:textId="77777777" w:rsidR="00CF59EF" w:rsidRDefault="00CF59EF">
      <w:pPr>
        <w:widowControl w:val="0"/>
        <w:rPr>
          <w:rFonts w:cs="Times"/>
          <w:bCs/>
          <w:szCs w:val="29"/>
        </w:rPr>
      </w:pPr>
    </w:p>
    <w:p w14:paraId="40ACB213" w14:textId="77777777" w:rsidR="00CF59EF" w:rsidRDefault="000B5D37" w:rsidP="00172945">
      <w:pPr>
        <w:pStyle w:val="Heading2"/>
        <w:numPr>
          <w:ilvl w:val="2"/>
          <w:numId w:val="2"/>
        </w:numPr>
        <w:ind w:left="720"/>
      </w:pPr>
      <w:bookmarkStart w:id="58" w:name="_Toc531868640"/>
      <w:r>
        <w:t>General directions for use</w:t>
      </w:r>
      <w:bookmarkEnd w:id="58"/>
    </w:p>
    <w:p w14:paraId="3C385F70" w14:textId="77777777" w:rsidR="00CF59EF" w:rsidRDefault="000B5D37" w:rsidP="00FD395A">
      <w:pPr>
        <w:pStyle w:val="Heading3"/>
      </w:pPr>
      <w:bookmarkStart w:id="59" w:name="_Toc531868641"/>
      <w:proofErr w:type="spellStart"/>
      <w:r>
        <w:t>Instructions</w:t>
      </w:r>
      <w:proofErr w:type="spellEnd"/>
      <w:r>
        <w:t xml:space="preserve"> </w:t>
      </w:r>
      <w:proofErr w:type="spellStart"/>
      <w:r>
        <w:t>for</w:t>
      </w:r>
      <w:proofErr w:type="spellEnd"/>
      <w:r>
        <w:t xml:space="preserve"> </w:t>
      </w:r>
      <w:proofErr w:type="spellStart"/>
      <w:r>
        <w:t>use</w:t>
      </w:r>
      <w:bookmarkStart w:id="60" w:name="_Toc423017240"/>
      <w:bookmarkEnd w:id="59"/>
      <w:bookmarkEnd w:id="60"/>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3E4F7C5C"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59B2320A" w14:textId="77777777" w:rsidR="00CF59EF" w:rsidRDefault="000B5D37">
            <w:r>
              <w:t xml:space="preserve">The product </w:t>
            </w:r>
            <w:proofErr w:type="spellStart"/>
            <w:r>
              <w:t>Kalaguard</w:t>
            </w:r>
            <w:proofErr w:type="spellEnd"/>
            <w:r>
              <w:rPr>
                <w:vertAlign w:val="superscript"/>
              </w:rPr>
              <w:t>®</w:t>
            </w:r>
            <w:r>
              <w:t xml:space="preserve"> SB is intended to be used as an in-can preservative (PT6) in</w:t>
            </w:r>
            <w:r w:rsidR="00276498">
              <w:t xml:space="preserve"> </w:t>
            </w:r>
            <w:r>
              <w:t>detergents, including dishwashing liquids, liquid laundry detergent and cleaners. The product is added to the articles needed to be preserved by either automated or manual dosing</w:t>
            </w:r>
            <w:r w:rsidR="00244210">
              <w:t>,</w:t>
            </w:r>
            <w:r>
              <w:t xml:space="preserve"> to achieve the concentration </w:t>
            </w:r>
            <w:r w:rsidRPr="00084A8D">
              <w:t xml:space="preserve">of </w:t>
            </w:r>
            <w:r w:rsidR="003A5B73" w:rsidRPr="00084A8D">
              <w:t>5</w:t>
            </w:r>
            <w:r w:rsidRPr="00084A8D">
              <w:t>-2</w:t>
            </w:r>
            <w:r w:rsidR="00FF2559">
              <w:t>9</w:t>
            </w:r>
            <w:r w:rsidR="00431301">
              <w:t>.</w:t>
            </w:r>
            <w:r w:rsidR="00FF2559">
              <w:t>5</w:t>
            </w:r>
            <w:r w:rsidR="00431301">
              <w:t xml:space="preserve"> </w:t>
            </w:r>
            <w:r w:rsidR="00084A8D">
              <w:rPr>
                <w:rFonts w:cs="Arial"/>
                <w:bCs/>
                <w:lang w:val="en-US"/>
              </w:rPr>
              <w:t>g sodium benzoate per L matrix</w:t>
            </w:r>
            <w:r w:rsidR="00E71CBB">
              <w:rPr>
                <w:rFonts w:cs="Arial"/>
                <w:bCs/>
                <w:lang w:val="en-US"/>
              </w:rPr>
              <w:t xml:space="preserve"> (corresponding to 0.42-2.5% benzoic acid)</w:t>
            </w:r>
            <w:r w:rsidR="00244210">
              <w:rPr>
                <w:rFonts w:cs="Arial"/>
                <w:bCs/>
                <w:lang w:val="en-US"/>
              </w:rPr>
              <w:t>,</w:t>
            </w:r>
            <w:r w:rsidR="00084A8D" w:rsidRPr="00084A8D" w:rsidDel="003A5B73">
              <w:t xml:space="preserve"> </w:t>
            </w:r>
            <w:r>
              <w:t>in the final product</w:t>
            </w:r>
            <w:r w:rsidR="00431301">
              <w:t>.</w:t>
            </w:r>
          </w:p>
          <w:p w14:paraId="2436881F" w14:textId="77777777" w:rsidR="00313A4E" w:rsidRDefault="00313A4E">
            <w:pPr>
              <w:rPr>
                <w:color w:val="000000"/>
              </w:rPr>
            </w:pPr>
          </w:p>
          <w:p w14:paraId="5B10C29C" w14:textId="77777777" w:rsidR="00CF59EF" w:rsidRDefault="000B5D37">
            <w:pPr>
              <w:rPr>
                <w:color w:val="000000"/>
              </w:rPr>
            </w:pPr>
            <w:r>
              <w:rPr>
                <w:color w:val="000000"/>
              </w:rPr>
              <w:t>The dose strongly depends on the formulation and intended use of the product to which the preservative is added. Therefore, the user should determine dosage requirements for their specific matrix/system to be preserved. The lowest effective dose should be used.</w:t>
            </w:r>
          </w:p>
          <w:p w14:paraId="2D06C11A" w14:textId="77777777" w:rsidR="00CF59EF" w:rsidRDefault="00CF59EF"/>
          <w:p w14:paraId="772AC188" w14:textId="77777777" w:rsidR="00B50811" w:rsidRPr="00B50811" w:rsidRDefault="00B50811" w:rsidP="00B50811">
            <w:r w:rsidRPr="00B50811">
              <w:rPr>
                <w:rFonts w:eastAsia="Calibri"/>
                <w:iCs/>
                <w:szCs w:val="24"/>
                <w:lang w:eastAsia="en-US"/>
              </w:rPr>
              <w:t>Assure that the final formulation does not exceed pH 6, since the preventive properties of the active substance against growth of microorganisms diminishes at pH above 7.</w:t>
            </w:r>
            <w:r>
              <w:rPr>
                <w:rFonts w:eastAsia="Calibri"/>
                <w:iCs/>
                <w:szCs w:val="24"/>
                <w:lang w:eastAsia="en-US"/>
              </w:rPr>
              <w:t xml:space="preserve"> </w:t>
            </w:r>
            <w:r w:rsidR="000B5D37">
              <w:rPr>
                <w:rFonts w:eastAsia="Calibri"/>
                <w:iCs/>
                <w:szCs w:val="24"/>
                <w:lang w:eastAsia="en-US"/>
              </w:rPr>
              <w:t xml:space="preserve">The activity increases with decreasing pH and diminishes above pH 7, as the active </w:t>
            </w:r>
            <w:r w:rsidR="00313A4E">
              <w:rPr>
                <w:rFonts w:eastAsia="Calibri"/>
                <w:iCs/>
                <w:szCs w:val="24"/>
                <w:lang w:eastAsia="en-US"/>
              </w:rPr>
              <w:t xml:space="preserve">substance </w:t>
            </w:r>
            <w:r w:rsidR="000B5D37">
              <w:rPr>
                <w:rFonts w:eastAsia="Calibri"/>
                <w:iCs/>
                <w:szCs w:val="24"/>
                <w:lang w:eastAsia="en-US"/>
              </w:rPr>
              <w:t xml:space="preserve">is the protonated benzoic acid, </w:t>
            </w:r>
            <w:r w:rsidR="001C3241">
              <w:rPr>
                <w:rFonts w:eastAsia="Calibri"/>
                <w:iCs/>
                <w:szCs w:val="24"/>
                <w:lang w:eastAsia="en-US"/>
              </w:rPr>
              <w:t xml:space="preserve">and </w:t>
            </w:r>
            <w:r w:rsidR="000B5D37">
              <w:rPr>
                <w:rFonts w:eastAsia="Calibri"/>
                <w:iCs/>
                <w:szCs w:val="24"/>
                <w:lang w:eastAsia="en-US"/>
              </w:rPr>
              <w:t>the</w:t>
            </w:r>
            <w:r w:rsidR="001C3241">
              <w:t xml:space="preserve"> </w:t>
            </w:r>
            <w:r w:rsidR="00304DF1">
              <w:t>ratio protonated/deprotonated</w:t>
            </w:r>
            <w:r w:rsidR="000B5D37">
              <w:rPr>
                <w:rFonts w:eastAsia="Calibri"/>
                <w:iCs/>
                <w:szCs w:val="24"/>
                <w:lang w:eastAsia="en-US"/>
              </w:rPr>
              <w:t xml:space="preserve"> increases at low </w:t>
            </w:r>
            <w:proofErr w:type="spellStart"/>
            <w:r w:rsidR="000B5D37">
              <w:rPr>
                <w:rFonts w:eastAsia="Calibri"/>
                <w:iCs/>
                <w:szCs w:val="24"/>
                <w:lang w:eastAsia="en-US"/>
              </w:rPr>
              <w:t>pH.</w:t>
            </w:r>
            <w:proofErr w:type="spellEnd"/>
            <w:r>
              <w:rPr>
                <w:rFonts w:eastAsia="Calibri"/>
                <w:iCs/>
                <w:szCs w:val="24"/>
                <w:lang w:eastAsia="en-US"/>
              </w:rPr>
              <w:t xml:space="preserve"> </w:t>
            </w:r>
          </w:p>
        </w:tc>
      </w:tr>
    </w:tbl>
    <w:p w14:paraId="0A62BC4D" w14:textId="77777777" w:rsidR="00CF59EF" w:rsidRDefault="000B5D37" w:rsidP="00FD395A">
      <w:pPr>
        <w:pStyle w:val="Heading3"/>
      </w:pPr>
      <w:bookmarkStart w:id="61" w:name="_Toc423017241"/>
      <w:bookmarkStart w:id="62" w:name="_Toc531868642"/>
      <w:bookmarkEnd w:id="61"/>
      <w:r>
        <w:t xml:space="preserve">Risk </w:t>
      </w:r>
      <w:proofErr w:type="spellStart"/>
      <w:r>
        <w:t>mitigation</w:t>
      </w:r>
      <w:proofErr w:type="spellEnd"/>
      <w:r>
        <w:t xml:space="preserve"> </w:t>
      </w:r>
      <w:proofErr w:type="spellStart"/>
      <w:r>
        <w:t>measures</w:t>
      </w:r>
      <w:bookmarkEnd w:id="62"/>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4B78E3D4"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08DE9883" w14:textId="77777777" w:rsidR="000C51A9" w:rsidRDefault="000C51A9">
            <w:r w:rsidRPr="000C51A9">
              <w:rPr>
                <w:rFonts w:eastAsia="Calibri"/>
              </w:rPr>
              <w:t>As a precaution to control dust explosion potential: eliminate ignition sources (e.g., sparks, static build-up, excessive heat, etc.), use spark-proof tools and equipment and prevent accumulation of dust (e.g., well-ventilated conditions, promptly vacuuming spills, cleaning overhead horizontal surfaces, etc.).</w:t>
            </w:r>
          </w:p>
          <w:p w14:paraId="5E8D9874" w14:textId="77777777" w:rsidR="00CF59EF" w:rsidRDefault="000B5D37">
            <w:r>
              <w:t xml:space="preserve">Wash hands thoroughly after handling. Wear eye protection. </w:t>
            </w:r>
          </w:p>
          <w:p w14:paraId="791E8330" w14:textId="77777777" w:rsidR="00DD686B" w:rsidRDefault="00DD686B"/>
          <w:p w14:paraId="229BBB9B" w14:textId="77777777" w:rsidR="00DD686B" w:rsidRDefault="00DD686B">
            <w:r w:rsidRPr="00F40513">
              <w:t xml:space="preserve">Wear gloves during mixing and loading while adding </w:t>
            </w:r>
            <w:proofErr w:type="spellStart"/>
            <w:r w:rsidR="004F3C3C" w:rsidRPr="00F40513">
              <w:t>Kalaguard</w:t>
            </w:r>
            <w:proofErr w:type="spellEnd"/>
            <w:r w:rsidR="004F3C3C" w:rsidRPr="00F40513">
              <w:rPr>
                <w:vertAlign w:val="superscript"/>
              </w:rPr>
              <w:t>®</w:t>
            </w:r>
            <w:r w:rsidR="004F3C3C" w:rsidRPr="00F40513">
              <w:t xml:space="preserve"> SB </w:t>
            </w:r>
            <w:r w:rsidRPr="00F40513">
              <w:t>to the articles to be preserved</w:t>
            </w:r>
            <w:r w:rsidR="00F40513" w:rsidRPr="00F40513">
              <w:t xml:space="preserve"> </w:t>
            </w:r>
            <w:r w:rsidR="00F40513" w:rsidRPr="00F40513">
              <w:rPr>
                <w:rFonts w:cs="Arial"/>
                <w:u w:val="single"/>
              </w:rPr>
              <w:t>(glove material to be specified by the authorisation holder within the product information)</w:t>
            </w:r>
            <w:r w:rsidRPr="00F40513">
              <w:t>.</w:t>
            </w:r>
          </w:p>
        </w:tc>
      </w:tr>
    </w:tbl>
    <w:p w14:paraId="77C91088" w14:textId="77777777" w:rsidR="00CF59EF" w:rsidRPr="00EB287D" w:rsidRDefault="000B5D37" w:rsidP="00FD395A">
      <w:pPr>
        <w:pStyle w:val="Heading3"/>
        <w:rPr>
          <w:lang w:val="en-US"/>
        </w:rPr>
      </w:pPr>
      <w:bookmarkStart w:id="63" w:name="_Toc423017242"/>
      <w:bookmarkStart w:id="64" w:name="_Toc531868643"/>
      <w:bookmarkEnd w:id="63"/>
      <w:r w:rsidRPr="00EB287D">
        <w:rPr>
          <w:lang w:val="en-US"/>
        </w:rPr>
        <w:t>Particulars of likely direct or indirect effects, first aid instructions and emergency measures to protect the environment</w:t>
      </w:r>
      <w:bookmarkEnd w:id="64"/>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691305F2"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78C2D69" w14:textId="77777777" w:rsidR="00E00EEA" w:rsidRDefault="00E00EEA" w:rsidP="00E00EEA">
            <w:r>
              <w:t>Likely direct or indirect adverse effects:</w:t>
            </w:r>
          </w:p>
          <w:p w14:paraId="57B706A9" w14:textId="77777777" w:rsidR="00CF59EF" w:rsidRDefault="00E00EEA">
            <w:r>
              <w:t>•</w:t>
            </w:r>
            <w:r>
              <w:tab/>
              <w:t>Eyes, mucosal, respiratory and gastrointestinal tract irritation.</w:t>
            </w:r>
          </w:p>
          <w:p w14:paraId="2387626E" w14:textId="77777777" w:rsidR="00CF59EF" w:rsidRDefault="000B5D37">
            <w:r>
              <w:t>Description of first aid measures:</w:t>
            </w:r>
          </w:p>
          <w:p w14:paraId="1BD7D20E" w14:textId="77777777" w:rsidR="00CF59EF" w:rsidRDefault="000B5D37">
            <w:r>
              <w:t xml:space="preserve">General: </w:t>
            </w:r>
            <w:r w:rsidR="00E00EEA" w:rsidRPr="00E00EEA">
              <w:t>If irritation or other symptoms occur or persist from any route of exposure, remove the affected individual from the area: get medical advice/attention</w:t>
            </w:r>
          </w:p>
          <w:p w14:paraId="41A2307D" w14:textId="77777777" w:rsidR="007D5A8C" w:rsidRDefault="00B25C64">
            <w:r w:rsidRPr="00B25C64">
              <w:t>Eye contact: Remove contact lenses, if present and easy to do. Continue rinsing. If eye irritation persists: Get medical advice/attention</w:t>
            </w:r>
            <w:r w:rsidRPr="00B25C64" w:rsidDel="00B25C64">
              <w:t xml:space="preserve"> </w:t>
            </w:r>
          </w:p>
          <w:p w14:paraId="062AF73E" w14:textId="77777777" w:rsidR="00CF59EF" w:rsidRDefault="000B5D37">
            <w:r>
              <w:lastRenderedPageBreak/>
              <w:t xml:space="preserve">Ingestion: </w:t>
            </w:r>
            <w:r w:rsidR="00E00EEA" w:rsidRPr="00E00EEA">
              <w:t>Never give anything by mouth to an unconscious person. Rinse out the mouth with water. Get medical advice/attention</w:t>
            </w:r>
          </w:p>
          <w:p w14:paraId="395BB21B" w14:textId="77777777" w:rsidR="00CF59EF" w:rsidRDefault="00CF59EF"/>
          <w:p w14:paraId="0DCC9293" w14:textId="77777777" w:rsidR="00CF59EF" w:rsidRDefault="000B5D37">
            <w:r>
              <w:t xml:space="preserve">Environmental precautions: </w:t>
            </w:r>
          </w:p>
          <w:p w14:paraId="7C1FBFEE" w14:textId="77777777" w:rsidR="00CF59EF" w:rsidRDefault="000B5D37">
            <w:r>
              <w:t xml:space="preserve">Do not flush product into public sewer, water systems or surface waters. </w:t>
            </w:r>
          </w:p>
        </w:tc>
      </w:tr>
    </w:tbl>
    <w:p w14:paraId="19D7F1C1" w14:textId="77777777" w:rsidR="00CF59EF" w:rsidRPr="00EB287D" w:rsidRDefault="000B5D37" w:rsidP="00FD395A">
      <w:pPr>
        <w:pStyle w:val="Heading3"/>
        <w:rPr>
          <w:lang w:val="en-US"/>
        </w:rPr>
      </w:pPr>
      <w:bookmarkStart w:id="65" w:name="_Toc423017243"/>
      <w:bookmarkStart w:id="66" w:name="_Toc531868644"/>
      <w:bookmarkEnd w:id="65"/>
      <w:r w:rsidRPr="00EB287D">
        <w:rPr>
          <w:lang w:val="en-US"/>
        </w:rPr>
        <w:lastRenderedPageBreak/>
        <w:t>Instructions for safe disposal of the product and its packaging</w:t>
      </w:r>
      <w:bookmarkEnd w:id="66"/>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2DA30B09"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0C622E9E" w14:textId="77777777" w:rsidR="00CF59EF" w:rsidRDefault="000B5D37">
            <w:r>
              <w:t>Dispose of unused contents (incineration or landfill) in accordance with national and local regulations. Dispose of container in accordance with national and local regulations. Ensure the use of properly authorized waste management companies, where appropriate.</w:t>
            </w:r>
          </w:p>
        </w:tc>
      </w:tr>
    </w:tbl>
    <w:p w14:paraId="62EB357B" w14:textId="77777777" w:rsidR="00CF59EF" w:rsidRPr="00EB287D" w:rsidRDefault="000B5D37" w:rsidP="00FD395A">
      <w:pPr>
        <w:pStyle w:val="Heading3"/>
        <w:rPr>
          <w:lang w:val="en-US"/>
        </w:rPr>
      </w:pPr>
      <w:bookmarkStart w:id="67" w:name="_Toc423017244"/>
      <w:bookmarkStart w:id="68" w:name="_Toc531868645"/>
      <w:bookmarkEnd w:id="67"/>
      <w:r w:rsidRPr="00EB287D">
        <w:rPr>
          <w:lang w:val="en-US"/>
        </w:rPr>
        <w:t>Conditions of storage and shelf-life of the product under normal conditions of storage</w:t>
      </w:r>
      <w:bookmarkEnd w:id="68"/>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75C22DEF"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46F8805" w14:textId="3225B87F" w:rsidR="00CF59EF" w:rsidRDefault="008A01D6" w:rsidP="00FE07F9">
            <w:r w:rsidRPr="00FE07F9">
              <w:t>Shelf-li</w:t>
            </w:r>
            <w:r w:rsidR="00FD395A" w:rsidRPr="00FE07F9">
              <w:t xml:space="preserve">fe: </w:t>
            </w:r>
            <w:r w:rsidR="00627FAE">
              <w:t>3</w:t>
            </w:r>
            <w:r w:rsidR="00FE07F9">
              <w:t xml:space="preserve"> </w:t>
            </w:r>
            <w:r w:rsidR="00FE07F9">
              <w:t>years</w:t>
            </w:r>
          </w:p>
        </w:tc>
      </w:tr>
    </w:tbl>
    <w:p w14:paraId="35692F6C" w14:textId="77777777" w:rsidR="00CF59EF" w:rsidRDefault="00CF59EF" w:rsidP="00FD395A">
      <w:pPr>
        <w:pStyle w:val="Absatz"/>
        <w:ind w:left="0"/>
        <w:rPr>
          <w:lang w:eastAsia="en-US"/>
        </w:rPr>
      </w:pPr>
    </w:p>
    <w:p w14:paraId="1F4D16FB" w14:textId="77777777" w:rsidR="00CF59EF" w:rsidRDefault="000B5D37" w:rsidP="00172945">
      <w:pPr>
        <w:pStyle w:val="Heading2"/>
        <w:numPr>
          <w:ilvl w:val="2"/>
          <w:numId w:val="2"/>
        </w:numPr>
        <w:ind w:left="720"/>
      </w:pPr>
      <w:bookmarkStart w:id="69" w:name="_Toc531868646"/>
      <w:r>
        <w:t>Other information</w:t>
      </w:r>
      <w:bookmarkEnd w:id="69"/>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14:paraId="5D927E3A" w14:textId="77777777">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B775F5E" w14:textId="77777777" w:rsidR="00CF59EF" w:rsidRDefault="00FD395A">
            <w:r>
              <w:t>-</w:t>
            </w:r>
          </w:p>
        </w:tc>
      </w:tr>
    </w:tbl>
    <w:p w14:paraId="58015242" w14:textId="77777777" w:rsidR="00CF59EF" w:rsidRDefault="00CF59EF">
      <w:pPr>
        <w:pStyle w:val="Absatz"/>
        <w:rPr>
          <w:lang w:eastAsia="en-US"/>
        </w:rPr>
      </w:pPr>
    </w:p>
    <w:p w14:paraId="45BD89FD" w14:textId="77777777" w:rsidR="00CF59EF" w:rsidRDefault="00CF59EF">
      <w:pPr>
        <w:tabs>
          <w:tab w:val="left" w:pos="500"/>
        </w:tabs>
        <w:ind w:left="500" w:hanging="500"/>
      </w:pPr>
    </w:p>
    <w:p w14:paraId="13638ADA" w14:textId="77777777" w:rsidR="00CF59EF" w:rsidRDefault="000B5D37" w:rsidP="00172945">
      <w:pPr>
        <w:pStyle w:val="Heading2"/>
        <w:numPr>
          <w:ilvl w:val="2"/>
          <w:numId w:val="2"/>
        </w:numPr>
        <w:ind w:left="720"/>
      </w:pPr>
      <w:bookmarkStart w:id="70" w:name="_Toc403566549"/>
      <w:bookmarkStart w:id="71" w:name="_Toc531868647"/>
      <w:bookmarkEnd w:id="70"/>
      <w:r>
        <w:t>Packaging of the biocidal product</w:t>
      </w:r>
      <w:bookmarkEnd w:id="71"/>
    </w:p>
    <w:tbl>
      <w:tblPr>
        <w:tblW w:w="9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28"/>
        <w:gridCol w:w="1572"/>
        <w:gridCol w:w="1630"/>
        <w:gridCol w:w="1626"/>
        <w:gridCol w:w="1636"/>
        <w:gridCol w:w="1638"/>
      </w:tblGrid>
      <w:tr w:rsidR="00CF59EF" w14:paraId="04A56687" w14:textId="77777777" w:rsidTr="009B7D2C">
        <w:tc>
          <w:tcPr>
            <w:tcW w:w="132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CD27BCC" w14:textId="77777777" w:rsidR="00CF59EF" w:rsidRDefault="000B5D37">
            <w:pPr>
              <w:spacing w:line="260" w:lineRule="atLeast"/>
              <w:rPr>
                <w:rFonts w:eastAsia="Calibri"/>
                <w:b/>
                <w:sz w:val="18"/>
                <w:lang w:eastAsia="en-US"/>
              </w:rPr>
            </w:pPr>
            <w:r>
              <w:rPr>
                <w:rFonts w:eastAsia="Calibri"/>
                <w:b/>
                <w:sz w:val="18"/>
                <w:lang w:eastAsia="en-US"/>
              </w:rPr>
              <w:t xml:space="preserve">Type of packaging </w:t>
            </w:r>
          </w:p>
        </w:tc>
        <w:tc>
          <w:tcPr>
            <w:tcW w:w="157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1E44090" w14:textId="77777777" w:rsidR="00CF59EF" w:rsidRDefault="000B5D37">
            <w:pPr>
              <w:spacing w:line="260" w:lineRule="atLeast"/>
              <w:rPr>
                <w:rFonts w:eastAsia="Calibri"/>
                <w:b/>
                <w:sz w:val="18"/>
                <w:lang w:eastAsia="en-US"/>
              </w:rPr>
            </w:pPr>
            <w:r>
              <w:rPr>
                <w:rFonts w:eastAsia="Calibri"/>
                <w:b/>
                <w:sz w:val="18"/>
                <w:lang w:eastAsia="en-US"/>
              </w:rPr>
              <w:t>Size/volume of the packaging</w:t>
            </w:r>
          </w:p>
        </w:tc>
        <w:tc>
          <w:tcPr>
            <w:tcW w:w="163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C8DAD1B" w14:textId="77777777" w:rsidR="00CF59EF" w:rsidRDefault="000B5D37">
            <w:pPr>
              <w:spacing w:line="260" w:lineRule="atLeast"/>
              <w:rPr>
                <w:rFonts w:eastAsia="Calibri"/>
                <w:b/>
                <w:sz w:val="18"/>
                <w:lang w:eastAsia="en-US"/>
              </w:rPr>
            </w:pPr>
            <w:r>
              <w:rPr>
                <w:rFonts w:eastAsia="Calibri"/>
                <w:b/>
                <w:sz w:val="18"/>
                <w:lang w:eastAsia="en-US"/>
              </w:rPr>
              <w:t>Material of the packaging</w:t>
            </w:r>
          </w:p>
        </w:tc>
        <w:tc>
          <w:tcPr>
            <w:tcW w:w="16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236A1A7" w14:textId="77777777" w:rsidR="00CF59EF" w:rsidRDefault="000B5D37">
            <w:pPr>
              <w:spacing w:line="260" w:lineRule="atLeast"/>
              <w:rPr>
                <w:rFonts w:eastAsia="Calibri"/>
                <w:b/>
                <w:sz w:val="18"/>
                <w:lang w:eastAsia="en-US"/>
              </w:rPr>
            </w:pPr>
            <w:r>
              <w:rPr>
                <w:rFonts w:eastAsia="Calibri"/>
                <w:b/>
                <w:sz w:val="18"/>
                <w:lang w:eastAsia="en-US"/>
              </w:rPr>
              <w:t>Type and material of closure(s)</w:t>
            </w:r>
          </w:p>
        </w:tc>
        <w:tc>
          <w:tcPr>
            <w:tcW w:w="163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4E44A06" w14:textId="77777777" w:rsidR="00CF59EF" w:rsidRDefault="000B5D37">
            <w:pPr>
              <w:spacing w:line="260" w:lineRule="atLeast"/>
              <w:rPr>
                <w:rFonts w:eastAsia="Calibri"/>
                <w:b/>
                <w:sz w:val="18"/>
                <w:lang w:val="fr-BE" w:eastAsia="en-US"/>
              </w:rPr>
            </w:pPr>
            <w:proofErr w:type="spellStart"/>
            <w:r>
              <w:rPr>
                <w:rFonts w:eastAsia="Calibri"/>
                <w:b/>
                <w:sz w:val="18"/>
                <w:lang w:val="fr-BE" w:eastAsia="en-US"/>
              </w:rPr>
              <w:t>Intended</w:t>
            </w:r>
            <w:proofErr w:type="spellEnd"/>
            <w:r>
              <w:rPr>
                <w:rFonts w:eastAsia="Calibri"/>
                <w:b/>
                <w:sz w:val="18"/>
                <w:lang w:val="fr-BE" w:eastAsia="en-US"/>
              </w:rPr>
              <w:t xml:space="preserve"> user (e.g.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63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4F8B785" w14:textId="77777777" w:rsidR="00CF59EF" w:rsidRDefault="000B5D37">
            <w:pPr>
              <w:spacing w:line="260" w:lineRule="atLeast"/>
              <w:rPr>
                <w:rFonts w:eastAsia="Calibri"/>
                <w:b/>
                <w:sz w:val="18"/>
                <w:lang w:eastAsia="en-US"/>
              </w:rPr>
            </w:pPr>
            <w:r>
              <w:rPr>
                <w:rFonts w:eastAsia="Calibri"/>
                <w:b/>
                <w:sz w:val="18"/>
                <w:lang w:eastAsia="en-US"/>
              </w:rPr>
              <w:t>Compatibility of the product with the proposed packaging materials (Yes/No)</w:t>
            </w:r>
          </w:p>
        </w:tc>
      </w:tr>
      <w:tr w:rsidR="00CF59EF" w14:paraId="17339B8D" w14:textId="77777777" w:rsidTr="009B7D2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5AEA3C" w14:textId="77777777" w:rsidR="00CF59EF" w:rsidRDefault="000B5D37">
            <w:r>
              <w:t>Bag</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8EB8B" w14:textId="77777777" w:rsidR="00CF59EF" w:rsidRDefault="000B5D37">
            <w:r>
              <w:t>25 kg</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114FA" w14:textId="77777777" w:rsidR="00CF59EF" w:rsidRDefault="000B5D37">
            <w:r>
              <w:t>Polyethylene</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EA0B9" w14:textId="77777777" w:rsidR="00CF59EF" w:rsidRDefault="000B5D37">
            <w:proofErr w:type="spellStart"/>
            <w:r>
              <w:t>n.a.</w:t>
            </w:r>
            <w:proofErr w:type="spellEnd"/>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08B43E" w14:textId="77777777" w:rsidR="00CF59EF" w:rsidRDefault="000B5D37">
            <w:r>
              <w:t>professional</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7A2F6" w14:textId="77777777" w:rsidR="00CF59EF" w:rsidRDefault="000B5D37">
            <w:r>
              <w:t>Yes</w:t>
            </w:r>
            <w:r w:rsidR="00FE07F9">
              <w:t>*</w:t>
            </w:r>
          </w:p>
        </w:tc>
      </w:tr>
      <w:tr w:rsidR="00CF59EF" w14:paraId="77D372F9" w14:textId="77777777" w:rsidTr="009B7D2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31E14" w14:textId="77777777" w:rsidR="00CF59EF" w:rsidRDefault="000B5D37">
            <w:r>
              <w:t>Bag</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5C565" w14:textId="77777777" w:rsidR="0041218B" w:rsidRDefault="000B5D37">
            <w:r>
              <w:t>500</w:t>
            </w:r>
            <w:r w:rsidR="0041218B">
              <w:t xml:space="preserve"> </w:t>
            </w:r>
            <w:r>
              <w:t xml:space="preserve">kg, </w:t>
            </w:r>
          </w:p>
          <w:p w14:paraId="0572B59F" w14:textId="77777777" w:rsidR="0041218B" w:rsidRDefault="000B5D37">
            <w:r>
              <w:t>650</w:t>
            </w:r>
            <w:r w:rsidR="0041218B">
              <w:t xml:space="preserve"> </w:t>
            </w:r>
            <w:r>
              <w:t xml:space="preserve">kg, </w:t>
            </w:r>
          </w:p>
          <w:p w14:paraId="1CAE470B" w14:textId="77777777" w:rsidR="00CF59EF" w:rsidRDefault="000B5D37">
            <w:r>
              <w:t>1000</w:t>
            </w:r>
            <w:r w:rsidR="0041218B">
              <w:t xml:space="preserve"> </w:t>
            </w:r>
            <w:r>
              <w:t>kg</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E81FE6" w14:textId="77777777" w:rsidR="00CF59EF" w:rsidRDefault="000B5D37">
            <w:r>
              <w:t>Polypropylene</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CAF85" w14:textId="77777777" w:rsidR="00CF59EF" w:rsidRDefault="000B5D37">
            <w:r>
              <w:t>Polypropylene straps fixed to the big bag</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6498C" w14:textId="77777777" w:rsidR="00CF59EF" w:rsidRDefault="000B5D37">
            <w:r>
              <w:t>professional</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05D99" w14:textId="77777777" w:rsidR="00CF59EF" w:rsidRDefault="000B5D37">
            <w:r>
              <w:t>Yes</w:t>
            </w:r>
            <w:r w:rsidR="00FE07F9">
              <w:t>*</w:t>
            </w:r>
          </w:p>
        </w:tc>
      </w:tr>
      <w:tr w:rsidR="000E64AA" w14:paraId="2F0C1EB7" w14:textId="77777777" w:rsidTr="00CD3957">
        <w:tc>
          <w:tcPr>
            <w:tcW w:w="943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EA3BC" w14:textId="77777777" w:rsidR="000E64AA" w:rsidRDefault="00FE07F9" w:rsidP="000E64AA">
            <w:r>
              <w:rPr>
                <w:rFonts w:eastAsia="Calibri"/>
                <w:i/>
                <w:lang w:eastAsia="en-US"/>
              </w:rPr>
              <w:t xml:space="preserve">* see section 2.2.2 for details on the assessment of packaging </w:t>
            </w:r>
            <w:proofErr w:type="spellStart"/>
            <w:r>
              <w:rPr>
                <w:rFonts w:eastAsia="Calibri"/>
                <w:i/>
                <w:lang w:eastAsia="en-US"/>
              </w:rPr>
              <w:t>compatability</w:t>
            </w:r>
            <w:proofErr w:type="spellEnd"/>
          </w:p>
        </w:tc>
      </w:tr>
    </w:tbl>
    <w:p w14:paraId="7F032DE4" w14:textId="77777777" w:rsidR="00CF59EF" w:rsidRDefault="00CF59EF"/>
    <w:p w14:paraId="380474BF" w14:textId="77777777" w:rsidR="00CF59EF" w:rsidRDefault="000B5D37" w:rsidP="00172945">
      <w:pPr>
        <w:pStyle w:val="Heading2"/>
        <w:numPr>
          <w:ilvl w:val="2"/>
          <w:numId w:val="2"/>
        </w:numPr>
        <w:ind w:left="720"/>
      </w:pPr>
      <w:bookmarkStart w:id="72" w:name="_Toc531868648"/>
      <w:r>
        <w:t>Documentation</w:t>
      </w:r>
      <w:bookmarkEnd w:id="72"/>
    </w:p>
    <w:p w14:paraId="1DFF930A" w14:textId="77777777" w:rsidR="00CF59EF" w:rsidRPr="00EB287D" w:rsidRDefault="000B5D37" w:rsidP="00FD395A">
      <w:pPr>
        <w:pStyle w:val="Heading3"/>
        <w:rPr>
          <w:lang w:val="en-US"/>
        </w:rPr>
      </w:pPr>
      <w:bookmarkStart w:id="73" w:name="_Toc531868649"/>
      <w:r w:rsidRPr="00EB287D">
        <w:rPr>
          <w:lang w:val="en-US"/>
        </w:rPr>
        <w:t>Data submitted in relation to product application</w:t>
      </w:r>
      <w:bookmarkEnd w:id="73"/>
    </w:p>
    <w:p w14:paraId="70B89D54" w14:textId="77777777" w:rsidR="00CF59EF" w:rsidRDefault="000B5D37">
      <w:pPr>
        <w:spacing w:line="260" w:lineRule="atLeast"/>
        <w:jc w:val="both"/>
        <w:rPr>
          <w:rFonts w:eastAsia="Calibri"/>
          <w:iCs/>
          <w:lang w:eastAsia="en-US"/>
        </w:rPr>
      </w:pPr>
      <w:r>
        <w:rPr>
          <w:rFonts w:eastAsia="Calibri"/>
          <w:iCs/>
          <w:lang w:eastAsia="en-US"/>
        </w:rPr>
        <w:t xml:space="preserve">Please refer to the reference list. </w:t>
      </w:r>
    </w:p>
    <w:p w14:paraId="75789048" w14:textId="77777777" w:rsidR="00CF59EF" w:rsidRDefault="000B5D37">
      <w:pPr>
        <w:spacing w:line="260" w:lineRule="atLeast"/>
        <w:jc w:val="both"/>
        <w:rPr>
          <w:rFonts w:eastAsia="Calibri"/>
          <w:iCs/>
          <w:lang w:eastAsia="en-US"/>
        </w:rPr>
      </w:pPr>
      <w:r>
        <w:rPr>
          <w:rFonts w:eastAsia="Calibri"/>
          <w:iCs/>
          <w:lang w:eastAsia="en-US"/>
        </w:rPr>
        <w:t>Sodium benzoate is an existing active substance included in Annex I of Regulation 528/2012/EC. As no active substance dossier on sodium benzoate has been submitted under the Review Programme, the available active substance data (Annex II of Regulation 528/2012/EC) have been submitted in the IUCLID format within the application. Thus two datasets have been included in the dossier: the product dataset according to the data requi</w:t>
      </w:r>
      <w:r w:rsidR="00171023">
        <w:rPr>
          <w:rFonts w:eastAsia="Calibri"/>
          <w:iCs/>
          <w:lang w:eastAsia="en-US"/>
        </w:rPr>
        <w:t>r</w:t>
      </w:r>
      <w:r>
        <w:rPr>
          <w:rFonts w:eastAsia="Calibri"/>
          <w:iCs/>
          <w:lang w:eastAsia="en-US"/>
        </w:rPr>
        <w:t xml:space="preserve">ements of Annex III of the BPR, and </w:t>
      </w:r>
      <w:r w:rsidR="008A6B70">
        <w:rPr>
          <w:rFonts w:eastAsia="Calibri"/>
          <w:iCs/>
          <w:lang w:eastAsia="en-US"/>
        </w:rPr>
        <w:t>where relevant, data on the</w:t>
      </w:r>
      <w:r>
        <w:rPr>
          <w:rFonts w:eastAsia="Calibri"/>
          <w:iCs/>
          <w:lang w:eastAsia="en-US"/>
        </w:rPr>
        <w:t xml:space="preserve"> active substance according to the data requirements of Annex II of the BPR.</w:t>
      </w:r>
    </w:p>
    <w:p w14:paraId="2D44023C" w14:textId="77777777" w:rsidR="00CF59EF" w:rsidRDefault="000B5D37" w:rsidP="00FD395A">
      <w:pPr>
        <w:pStyle w:val="Heading3"/>
      </w:pPr>
      <w:bookmarkStart w:id="74" w:name="_Toc531868650"/>
      <w:r>
        <w:lastRenderedPageBreak/>
        <w:t xml:space="preserve">Access </w:t>
      </w:r>
      <w:proofErr w:type="spellStart"/>
      <w:r>
        <w:t>to</w:t>
      </w:r>
      <w:proofErr w:type="spellEnd"/>
      <w:r>
        <w:t xml:space="preserve"> </w:t>
      </w:r>
      <w:proofErr w:type="spellStart"/>
      <w:r>
        <w:t>documentation</w:t>
      </w:r>
      <w:bookmarkEnd w:id="74"/>
      <w:proofErr w:type="spellEnd"/>
    </w:p>
    <w:p w14:paraId="251676D0" w14:textId="77777777" w:rsidR="00CF59EF" w:rsidRDefault="000B5D37">
      <w:pPr>
        <w:spacing w:line="260" w:lineRule="atLeast"/>
        <w:rPr>
          <w:rFonts w:eastAsia="Calibri"/>
          <w:iCs/>
          <w:lang w:eastAsia="en-US"/>
        </w:rPr>
      </w:pPr>
      <w:r>
        <w:rPr>
          <w:rFonts w:eastAsia="Calibri"/>
          <w:iCs/>
          <w:lang w:eastAsia="en-US"/>
        </w:rPr>
        <w:t xml:space="preserve">Please refer to the reference list. The data submitter is the data owner, except when indicated otherwise. For the studies for which the data submitter is not a data owner, the respective Letters of Access have been submitted with the dossier. </w:t>
      </w:r>
    </w:p>
    <w:p w14:paraId="69D8DA2F" w14:textId="77777777" w:rsidR="00CF59EF" w:rsidRDefault="00CF59EF"/>
    <w:p w14:paraId="3F3727FF" w14:textId="77777777" w:rsidR="00CF59EF" w:rsidRDefault="00CF59EF">
      <w:bookmarkStart w:id="75" w:name="d0e2119"/>
      <w:bookmarkStart w:id="76" w:name="_Toc366658854"/>
      <w:bookmarkEnd w:id="75"/>
      <w:bookmarkEnd w:id="76"/>
    </w:p>
    <w:p w14:paraId="42064332" w14:textId="77777777" w:rsidR="00CF59EF" w:rsidRDefault="00CF59EF"/>
    <w:p w14:paraId="054C9BAD" w14:textId="77777777" w:rsidR="00CF59EF" w:rsidRDefault="00CF59EF">
      <w:pPr>
        <w:spacing w:line="260" w:lineRule="atLeast"/>
        <w:rPr>
          <w:rFonts w:eastAsia="Calibri"/>
          <w:lang w:val="en-US" w:eastAsia="en-US"/>
        </w:rPr>
      </w:pPr>
    </w:p>
    <w:p w14:paraId="66FCEC66" w14:textId="77777777" w:rsidR="00CF59EF" w:rsidRDefault="000B5D37">
      <w:pPr>
        <w:rPr>
          <w:sz w:val="24"/>
          <w:szCs w:val="24"/>
        </w:rPr>
      </w:pPr>
      <w:r>
        <w:br w:type="page"/>
      </w:r>
    </w:p>
    <w:p w14:paraId="1005F9DF" w14:textId="77777777" w:rsidR="00CF59EF" w:rsidRDefault="000B5D37" w:rsidP="00CD3957">
      <w:pPr>
        <w:pStyle w:val="Heading2"/>
      </w:pPr>
      <w:bookmarkStart w:id="77" w:name="_Toc389728863"/>
      <w:bookmarkStart w:id="78" w:name="_Toc378859081"/>
      <w:bookmarkStart w:id="79" w:name="_Toc378858853"/>
      <w:bookmarkStart w:id="80" w:name="_Toc378841254"/>
      <w:bookmarkStart w:id="81" w:name="_Toc378776174"/>
      <w:bookmarkStart w:id="82" w:name="_Toc378774979"/>
      <w:bookmarkStart w:id="83" w:name="_Toc378767384"/>
      <w:bookmarkStart w:id="84" w:name="_Toc378765636"/>
      <w:bookmarkStart w:id="85" w:name="_Toc378762159"/>
      <w:bookmarkStart w:id="86" w:name="_Toc378762021"/>
      <w:bookmarkStart w:id="87" w:name="_Toc378761881"/>
      <w:bookmarkStart w:id="88" w:name="_Toc378761568"/>
      <w:bookmarkStart w:id="89" w:name="_Toc378761425"/>
      <w:bookmarkStart w:id="90" w:name="_Toc378761282"/>
      <w:bookmarkStart w:id="91" w:name="_Toc378761139"/>
      <w:bookmarkStart w:id="92" w:name="_Toc378692437"/>
      <w:bookmarkStart w:id="93" w:name="_Toc378692300"/>
      <w:bookmarkStart w:id="94" w:name="_Toc378692163"/>
      <w:bookmarkStart w:id="95" w:name="_Toc378691706"/>
      <w:bookmarkStart w:id="96" w:name="_Toc378685497"/>
      <w:bookmarkStart w:id="97" w:name="_Toc378685361"/>
      <w:bookmarkStart w:id="98" w:name="_Toc378683673"/>
      <w:bookmarkStart w:id="99" w:name="_Toc378682226"/>
      <w:bookmarkStart w:id="100" w:name="_Toc378681306"/>
      <w:bookmarkStart w:id="101" w:name="_Toc378351557"/>
      <w:bookmarkStart w:id="102" w:name="_Toc377653252"/>
      <w:bookmarkStart w:id="103" w:name="_Toc377650983"/>
      <w:bookmarkStart w:id="104" w:name="_Toc377650856"/>
      <w:bookmarkStart w:id="105" w:name="_Toc377649003"/>
      <w:bookmarkStart w:id="106" w:name="_Toc377646068"/>
      <w:bookmarkStart w:id="107" w:name="_Toc378859080"/>
      <w:bookmarkStart w:id="108" w:name="_Toc378858852"/>
      <w:bookmarkStart w:id="109" w:name="_Toc378841253"/>
      <w:bookmarkStart w:id="110" w:name="_Toc378776173"/>
      <w:bookmarkStart w:id="111" w:name="_Toc378774978"/>
      <w:bookmarkStart w:id="112" w:name="_Toc378767383"/>
      <w:bookmarkStart w:id="113" w:name="_Toc378765635"/>
      <w:bookmarkStart w:id="114" w:name="_Toc378762158"/>
      <w:bookmarkStart w:id="115" w:name="_Toc378762020"/>
      <w:bookmarkStart w:id="116" w:name="_Toc378761880"/>
      <w:bookmarkStart w:id="117" w:name="_Toc378761567"/>
      <w:bookmarkStart w:id="118" w:name="_Toc378761424"/>
      <w:bookmarkStart w:id="119" w:name="_Toc378761281"/>
      <w:bookmarkStart w:id="120" w:name="_Toc378761138"/>
      <w:bookmarkStart w:id="121" w:name="_Toc378692436"/>
      <w:bookmarkStart w:id="122" w:name="_Toc378692299"/>
      <w:bookmarkStart w:id="123" w:name="_Toc378692162"/>
      <w:bookmarkStart w:id="124" w:name="_Toc378691705"/>
      <w:bookmarkStart w:id="125" w:name="_Toc378685496"/>
      <w:bookmarkStart w:id="126" w:name="_Toc378685360"/>
      <w:bookmarkStart w:id="127" w:name="_Toc378683672"/>
      <w:bookmarkStart w:id="128" w:name="_Toc378682225"/>
      <w:bookmarkStart w:id="129" w:name="_Toc378681305"/>
      <w:bookmarkStart w:id="130" w:name="_Toc378351556"/>
      <w:bookmarkStart w:id="131" w:name="_Toc377653251"/>
      <w:bookmarkStart w:id="132" w:name="_Toc377650982"/>
      <w:bookmarkStart w:id="133" w:name="_Toc377650855"/>
      <w:bookmarkStart w:id="134" w:name="_Toc377649002"/>
      <w:bookmarkStart w:id="135" w:name="_Toc377646067"/>
      <w:bookmarkStart w:id="136" w:name="_Toc378859079"/>
      <w:bookmarkStart w:id="137" w:name="_Toc378858851"/>
      <w:bookmarkStart w:id="138" w:name="_Toc378841252"/>
      <w:bookmarkStart w:id="139" w:name="_Toc378776172"/>
      <w:bookmarkStart w:id="140" w:name="_Toc378774977"/>
      <w:bookmarkStart w:id="141" w:name="_Toc378767382"/>
      <w:bookmarkStart w:id="142" w:name="_Toc378765634"/>
      <w:bookmarkStart w:id="143" w:name="_Toc378762157"/>
      <w:bookmarkStart w:id="144" w:name="_Toc378762019"/>
      <w:bookmarkStart w:id="145" w:name="_Toc378761879"/>
      <w:bookmarkStart w:id="146" w:name="_Toc378761566"/>
      <w:bookmarkStart w:id="147" w:name="_Toc378761423"/>
      <w:bookmarkStart w:id="148" w:name="_Toc378761280"/>
      <w:bookmarkStart w:id="149" w:name="_Toc378761137"/>
      <w:bookmarkStart w:id="150" w:name="_Toc378692435"/>
      <w:bookmarkStart w:id="151" w:name="_Toc378692298"/>
      <w:bookmarkStart w:id="152" w:name="_Toc378692161"/>
      <w:bookmarkStart w:id="153" w:name="_Toc378691704"/>
      <w:bookmarkStart w:id="154" w:name="_Toc378685495"/>
      <w:bookmarkStart w:id="155" w:name="_Toc378685359"/>
      <w:bookmarkStart w:id="156" w:name="_Toc378683671"/>
      <w:bookmarkStart w:id="157" w:name="_Toc378682224"/>
      <w:bookmarkStart w:id="158" w:name="_Toc378681304"/>
      <w:bookmarkStart w:id="159" w:name="_Toc378351555"/>
      <w:bookmarkStart w:id="160" w:name="_Toc377653250"/>
      <w:bookmarkStart w:id="161" w:name="_Toc377650981"/>
      <w:bookmarkStart w:id="162" w:name="_Toc377650854"/>
      <w:bookmarkStart w:id="163" w:name="_Toc377649001"/>
      <w:bookmarkStart w:id="164" w:name="_Toc377646066"/>
      <w:bookmarkStart w:id="165" w:name="_Toc378859078"/>
      <w:bookmarkStart w:id="166" w:name="_Toc378858850"/>
      <w:bookmarkStart w:id="167" w:name="_Toc378841251"/>
      <w:bookmarkStart w:id="168" w:name="_Toc378776171"/>
      <w:bookmarkStart w:id="169" w:name="_Toc378774976"/>
      <w:bookmarkStart w:id="170" w:name="_Toc378767381"/>
      <w:bookmarkStart w:id="171" w:name="_Toc378765633"/>
      <w:bookmarkStart w:id="172" w:name="_Toc378762156"/>
      <w:bookmarkStart w:id="173" w:name="_Toc378762018"/>
      <w:bookmarkStart w:id="174" w:name="_Toc378761878"/>
      <w:bookmarkStart w:id="175" w:name="_Toc378761565"/>
      <w:bookmarkStart w:id="176" w:name="_Toc378761422"/>
      <w:bookmarkStart w:id="177" w:name="_Toc378761279"/>
      <w:bookmarkStart w:id="178" w:name="_Toc378761136"/>
      <w:bookmarkStart w:id="179" w:name="_Toc378692434"/>
      <w:bookmarkStart w:id="180" w:name="_Toc378692297"/>
      <w:bookmarkStart w:id="181" w:name="_Toc378692160"/>
      <w:bookmarkStart w:id="182" w:name="_Toc378691703"/>
      <w:bookmarkStart w:id="183" w:name="_Toc378685494"/>
      <w:bookmarkStart w:id="184" w:name="_Toc378685358"/>
      <w:bookmarkStart w:id="185" w:name="_Toc378683670"/>
      <w:bookmarkStart w:id="186" w:name="_Toc378682223"/>
      <w:bookmarkStart w:id="187" w:name="_Toc378681303"/>
      <w:bookmarkStart w:id="188" w:name="_Toc378351554"/>
      <w:bookmarkStart w:id="189" w:name="_Toc377653249"/>
      <w:bookmarkStart w:id="190" w:name="_Toc377650980"/>
      <w:bookmarkStart w:id="191" w:name="_Toc377650853"/>
      <w:bookmarkStart w:id="192" w:name="_Toc377649000"/>
      <w:bookmarkStart w:id="193" w:name="_Toc377646065"/>
      <w:bookmarkStart w:id="194" w:name="_Toc378859077"/>
      <w:bookmarkStart w:id="195" w:name="_Toc378858849"/>
      <w:bookmarkStart w:id="196" w:name="_Toc378841250"/>
      <w:bookmarkStart w:id="197" w:name="_Toc378776170"/>
      <w:bookmarkStart w:id="198" w:name="_Toc378774975"/>
      <w:bookmarkStart w:id="199" w:name="_Toc378767380"/>
      <w:bookmarkStart w:id="200" w:name="_Toc378765632"/>
      <w:bookmarkStart w:id="201" w:name="_Toc378762155"/>
      <w:bookmarkStart w:id="202" w:name="_Toc378762017"/>
      <w:bookmarkStart w:id="203" w:name="_Toc378761877"/>
      <w:bookmarkStart w:id="204" w:name="_Toc378761564"/>
      <w:bookmarkStart w:id="205" w:name="_Toc378761421"/>
      <w:bookmarkStart w:id="206" w:name="_Toc378761278"/>
      <w:bookmarkStart w:id="207" w:name="_Toc378761135"/>
      <w:bookmarkStart w:id="208" w:name="_Toc378692433"/>
      <w:bookmarkStart w:id="209" w:name="_Toc378692296"/>
      <w:bookmarkStart w:id="210" w:name="_Toc378692159"/>
      <w:bookmarkStart w:id="211" w:name="_Toc378691702"/>
      <w:bookmarkStart w:id="212" w:name="_Toc378685493"/>
      <w:bookmarkStart w:id="213" w:name="_Toc378685357"/>
      <w:bookmarkStart w:id="214" w:name="_Toc378683669"/>
      <w:bookmarkStart w:id="215" w:name="_Toc378682222"/>
      <w:bookmarkStart w:id="216" w:name="_Toc378681302"/>
      <w:bookmarkStart w:id="217" w:name="_Toc378351553"/>
      <w:bookmarkStart w:id="218" w:name="_Toc377653248"/>
      <w:bookmarkStart w:id="219" w:name="_Toc377650979"/>
      <w:bookmarkStart w:id="220" w:name="_Toc377650852"/>
      <w:bookmarkStart w:id="221" w:name="_Toc377648999"/>
      <w:bookmarkStart w:id="222" w:name="_Toc377646064"/>
      <w:bookmarkStart w:id="223" w:name="_Toc388374244"/>
      <w:bookmarkStart w:id="224" w:name="_Toc388285153"/>
      <w:bookmarkStart w:id="225" w:name="_Toc388282887"/>
      <w:bookmarkStart w:id="226" w:name="_Toc388282439"/>
      <w:bookmarkStart w:id="227" w:name="_Toc388281957"/>
      <w:bookmarkStart w:id="228" w:name="_Toc388281501"/>
      <w:bookmarkStart w:id="229" w:name="_Toc387245151"/>
      <w:bookmarkStart w:id="230" w:name="_Toc388374242"/>
      <w:bookmarkStart w:id="231" w:name="_Toc388285151"/>
      <w:bookmarkStart w:id="232" w:name="_Toc388282885"/>
      <w:bookmarkStart w:id="233" w:name="_Toc388282437"/>
      <w:bookmarkStart w:id="234" w:name="_Toc388281955"/>
      <w:bookmarkStart w:id="235" w:name="_Toc388281499"/>
      <w:bookmarkStart w:id="236" w:name="_Toc387250793"/>
      <w:bookmarkStart w:id="237" w:name="_Toc387245149"/>
      <w:bookmarkStart w:id="238" w:name="_Toc388374241"/>
      <w:bookmarkStart w:id="239" w:name="_Toc388285150"/>
      <w:bookmarkStart w:id="240" w:name="_Toc388282884"/>
      <w:bookmarkStart w:id="241" w:name="_Toc388282436"/>
      <w:bookmarkStart w:id="242" w:name="_Toc388281954"/>
      <w:bookmarkStart w:id="243" w:name="_Toc388281498"/>
      <w:bookmarkStart w:id="244" w:name="_Toc387250792"/>
      <w:bookmarkStart w:id="245" w:name="_Toc387245148"/>
      <w:bookmarkStart w:id="246" w:name="_Toc388285113"/>
      <w:bookmarkStart w:id="247" w:name="_Toc388282847"/>
      <w:bookmarkStart w:id="248" w:name="_Toc388282399"/>
      <w:bookmarkStart w:id="249" w:name="_Toc388281917"/>
      <w:bookmarkStart w:id="250" w:name="_Toc388281461"/>
      <w:bookmarkStart w:id="251" w:name="_Toc387245111"/>
      <w:bookmarkStart w:id="252" w:name="_Toc388374212"/>
      <w:bookmarkStart w:id="253" w:name="_Toc388285112"/>
      <w:bookmarkStart w:id="254" w:name="_Toc388282846"/>
      <w:bookmarkStart w:id="255" w:name="_Toc388282398"/>
      <w:bookmarkStart w:id="256" w:name="_Toc388281916"/>
      <w:bookmarkStart w:id="257" w:name="_Toc388281460"/>
      <w:bookmarkStart w:id="258" w:name="_Toc387245110"/>
      <w:bookmarkStart w:id="259" w:name="_Toc388374211"/>
      <w:bookmarkStart w:id="260" w:name="_Toc388285111"/>
      <w:bookmarkStart w:id="261" w:name="_Toc388282845"/>
      <w:bookmarkStart w:id="262" w:name="_Toc388282397"/>
      <w:bookmarkStart w:id="263" w:name="_Toc388281915"/>
      <w:bookmarkStart w:id="264" w:name="_Toc388281459"/>
      <w:bookmarkStart w:id="265" w:name="_Toc387245109"/>
      <w:bookmarkStart w:id="266" w:name="_Toc388285110"/>
      <w:bookmarkStart w:id="267" w:name="_Toc388282844"/>
      <w:bookmarkStart w:id="268" w:name="_Toc388282396"/>
      <w:bookmarkStart w:id="269" w:name="_Toc388281914"/>
      <w:bookmarkStart w:id="270" w:name="_Toc388281458"/>
      <w:bookmarkStart w:id="271" w:name="_Toc387245108"/>
      <w:bookmarkStart w:id="272" w:name="_Toc388285109"/>
      <w:bookmarkStart w:id="273" w:name="_Toc388282843"/>
      <w:bookmarkStart w:id="274" w:name="_Toc388282395"/>
      <w:bookmarkStart w:id="275" w:name="_Toc388281913"/>
      <w:bookmarkStart w:id="276" w:name="_Toc388281457"/>
      <w:bookmarkStart w:id="277" w:name="_Toc387245107"/>
      <w:bookmarkStart w:id="278" w:name="_Toc378859073"/>
      <w:bookmarkStart w:id="279" w:name="_Toc378858845"/>
      <w:bookmarkStart w:id="280" w:name="_Toc378841246"/>
      <w:bookmarkStart w:id="281" w:name="_Toc378776166"/>
      <w:bookmarkStart w:id="282" w:name="_Toc378774971"/>
      <w:bookmarkStart w:id="283" w:name="_Toc378767376"/>
      <w:bookmarkStart w:id="284" w:name="_Toc378765628"/>
      <w:bookmarkStart w:id="285" w:name="_Toc378762151"/>
      <w:bookmarkStart w:id="286" w:name="_Toc378762013"/>
      <w:bookmarkStart w:id="287" w:name="_Toc378761873"/>
      <w:bookmarkStart w:id="288" w:name="_Toc378761560"/>
      <w:bookmarkStart w:id="289" w:name="_Toc378761417"/>
      <w:bookmarkStart w:id="290" w:name="_Toc378761274"/>
      <w:bookmarkStart w:id="291" w:name="_Toc378761131"/>
      <w:bookmarkStart w:id="292" w:name="_Toc378692429"/>
      <w:bookmarkStart w:id="293" w:name="_Toc378692292"/>
      <w:bookmarkStart w:id="294" w:name="_Toc378692155"/>
      <w:bookmarkStart w:id="295" w:name="_Toc378691698"/>
      <w:bookmarkStart w:id="296" w:name="_Toc378685489"/>
      <w:bookmarkStart w:id="297" w:name="_Toc378685353"/>
      <w:bookmarkStart w:id="298" w:name="_Toc378683665"/>
      <w:bookmarkStart w:id="299" w:name="_Toc378682218"/>
      <w:bookmarkStart w:id="300" w:name="_Toc378681298"/>
      <w:bookmarkStart w:id="301" w:name="_Toc378351549"/>
      <w:bookmarkStart w:id="302" w:name="_Toc377653244"/>
      <w:bookmarkStart w:id="303" w:name="_Toc377650975"/>
      <w:bookmarkStart w:id="304" w:name="_Toc377650848"/>
      <w:bookmarkStart w:id="305" w:name="_Toc377648995"/>
      <w:bookmarkStart w:id="306" w:name="_Toc377646060"/>
      <w:bookmarkStart w:id="307" w:name="_Toc378859072"/>
      <w:bookmarkStart w:id="308" w:name="_Toc378858844"/>
      <w:bookmarkStart w:id="309" w:name="_Toc378841245"/>
      <w:bookmarkStart w:id="310" w:name="_Toc378776165"/>
      <w:bookmarkStart w:id="311" w:name="_Toc378774970"/>
      <w:bookmarkStart w:id="312" w:name="_Toc378767375"/>
      <w:bookmarkStart w:id="313" w:name="_Toc378765627"/>
      <w:bookmarkStart w:id="314" w:name="_Toc378762150"/>
      <w:bookmarkStart w:id="315" w:name="_Toc378762012"/>
      <w:bookmarkStart w:id="316" w:name="_Toc378761872"/>
      <w:bookmarkStart w:id="317" w:name="_Toc378761559"/>
      <w:bookmarkStart w:id="318" w:name="_Toc378761416"/>
      <w:bookmarkStart w:id="319" w:name="_Toc378761273"/>
      <w:bookmarkStart w:id="320" w:name="_Toc378761130"/>
      <w:bookmarkStart w:id="321" w:name="_Toc378692428"/>
      <w:bookmarkStart w:id="322" w:name="_Toc378692291"/>
      <w:bookmarkStart w:id="323" w:name="_Toc378692154"/>
      <w:bookmarkStart w:id="324" w:name="_Toc378691697"/>
      <w:bookmarkStart w:id="325" w:name="_Toc378685488"/>
      <w:bookmarkStart w:id="326" w:name="_Toc378685352"/>
      <w:bookmarkStart w:id="327" w:name="_Toc378683664"/>
      <w:bookmarkStart w:id="328" w:name="_Toc378682217"/>
      <w:bookmarkStart w:id="329" w:name="_Toc378681297"/>
      <w:bookmarkStart w:id="330" w:name="_Toc378351548"/>
      <w:bookmarkStart w:id="331" w:name="_Toc377653243"/>
      <w:bookmarkStart w:id="332" w:name="_Toc377650974"/>
      <w:bookmarkStart w:id="333" w:name="_Toc377650847"/>
      <w:bookmarkStart w:id="334" w:name="_Toc377648994"/>
      <w:bookmarkStart w:id="335" w:name="_Toc377646059"/>
      <w:bookmarkStart w:id="336" w:name="_Toc378859071"/>
      <w:bookmarkStart w:id="337" w:name="_Toc378858843"/>
      <w:bookmarkStart w:id="338" w:name="_Toc378841244"/>
      <w:bookmarkStart w:id="339" w:name="_Toc378776164"/>
      <w:bookmarkStart w:id="340" w:name="_Toc378774969"/>
      <w:bookmarkStart w:id="341" w:name="_Toc378767374"/>
      <w:bookmarkStart w:id="342" w:name="_Toc378765626"/>
      <w:bookmarkStart w:id="343" w:name="_Toc378762149"/>
      <w:bookmarkStart w:id="344" w:name="_Toc378762011"/>
      <w:bookmarkStart w:id="345" w:name="_Toc378761871"/>
      <w:bookmarkStart w:id="346" w:name="_Toc378761558"/>
      <w:bookmarkStart w:id="347" w:name="_Toc378761415"/>
      <w:bookmarkStart w:id="348" w:name="_Toc378761272"/>
      <w:bookmarkStart w:id="349" w:name="_Toc378761129"/>
      <w:bookmarkStart w:id="350" w:name="_Toc378692427"/>
      <w:bookmarkStart w:id="351" w:name="_Toc378692290"/>
      <w:bookmarkStart w:id="352" w:name="_Toc378692153"/>
      <w:bookmarkStart w:id="353" w:name="_Toc378691696"/>
      <w:bookmarkStart w:id="354" w:name="_Toc378685487"/>
      <w:bookmarkStart w:id="355" w:name="_Toc378685351"/>
      <w:bookmarkStart w:id="356" w:name="_Toc378683663"/>
      <w:bookmarkStart w:id="357" w:name="_Toc378682216"/>
      <w:bookmarkStart w:id="358" w:name="_Toc378681296"/>
      <w:bookmarkStart w:id="359" w:name="_Toc378351547"/>
      <w:bookmarkStart w:id="360" w:name="_Toc377653242"/>
      <w:bookmarkStart w:id="361" w:name="_Toc377650973"/>
      <w:bookmarkStart w:id="362" w:name="_Toc377650846"/>
      <w:bookmarkStart w:id="363" w:name="_Toc377648993"/>
      <w:bookmarkStart w:id="364" w:name="_Toc377646058"/>
      <w:bookmarkStart w:id="365" w:name="_Toc378859070"/>
      <w:bookmarkStart w:id="366" w:name="_Toc378858842"/>
      <w:bookmarkStart w:id="367" w:name="_Toc378841243"/>
      <w:bookmarkStart w:id="368" w:name="_Toc378776163"/>
      <w:bookmarkStart w:id="369" w:name="_Toc378774968"/>
      <w:bookmarkStart w:id="370" w:name="_Toc378767373"/>
      <w:bookmarkStart w:id="371" w:name="_Toc378765625"/>
      <w:bookmarkStart w:id="372" w:name="_Toc378762148"/>
      <w:bookmarkStart w:id="373" w:name="_Toc378762010"/>
      <w:bookmarkStart w:id="374" w:name="_Toc378761870"/>
      <w:bookmarkStart w:id="375" w:name="_Toc378761557"/>
      <w:bookmarkStart w:id="376" w:name="_Toc378761414"/>
      <w:bookmarkStart w:id="377" w:name="_Toc378761271"/>
      <w:bookmarkStart w:id="378" w:name="_Toc378761128"/>
      <w:bookmarkStart w:id="379" w:name="_Toc378692426"/>
      <w:bookmarkStart w:id="380" w:name="_Toc378692289"/>
      <w:bookmarkStart w:id="381" w:name="_Toc378692152"/>
      <w:bookmarkStart w:id="382" w:name="_Toc378691695"/>
      <w:bookmarkStart w:id="383" w:name="_Toc378685486"/>
      <w:bookmarkStart w:id="384" w:name="_Toc378685350"/>
      <w:bookmarkStart w:id="385" w:name="_Toc378683662"/>
      <w:bookmarkStart w:id="386" w:name="_Toc378682215"/>
      <w:bookmarkStart w:id="387" w:name="_Toc378681295"/>
      <w:bookmarkStart w:id="388" w:name="_Toc378351546"/>
      <w:bookmarkStart w:id="389" w:name="_Toc377653241"/>
      <w:bookmarkStart w:id="390" w:name="_Toc377650972"/>
      <w:bookmarkStart w:id="391" w:name="_Toc377650845"/>
      <w:bookmarkStart w:id="392" w:name="_Toc377648992"/>
      <w:bookmarkStart w:id="393" w:name="_Toc377646057"/>
      <w:bookmarkStart w:id="394" w:name="_Toc378859069"/>
      <w:bookmarkStart w:id="395" w:name="_Toc378858841"/>
      <w:bookmarkStart w:id="396" w:name="_Toc378841242"/>
      <w:bookmarkStart w:id="397" w:name="_Toc378776162"/>
      <w:bookmarkStart w:id="398" w:name="_Toc378774967"/>
      <w:bookmarkStart w:id="399" w:name="_Toc378767372"/>
      <w:bookmarkStart w:id="400" w:name="_Toc378765624"/>
      <w:bookmarkStart w:id="401" w:name="_Toc378762147"/>
      <w:bookmarkStart w:id="402" w:name="_Toc378762009"/>
      <w:bookmarkStart w:id="403" w:name="_Toc378761869"/>
      <w:bookmarkStart w:id="404" w:name="_Toc378761556"/>
      <w:bookmarkStart w:id="405" w:name="_Toc378761413"/>
      <w:bookmarkStart w:id="406" w:name="_Toc378761270"/>
      <w:bookmarkStart w:id="407" w:name="_Toc378761127"/>
      <w:bookmarkStart w:id="408" w:name="_Toc378692425"/>
      <w:bookmarkStart w:id="409" w:name="_Toc378692288"/>
      <w:bookmarkStart w:id="410" w:name="_Toc378692151"/>
      <w:bookmarkStart w:id="411" w:name="_Toc378691694"/>
      <w:bookmarkStart w:id="412" w:name="_Toc378685485"/>
      <w:bookmarkStart w:id="413" w:name="_Toc378685349"/>
      <w:bookmarkStart w:id="414" w:name="_Toc378683661"/>
      <w:bookmarkStart w:id="415" w:name="_Toc378682214"/>
      <w:bookmarkStart w:id="416" w:name="_Toc378681294"/>
      <w:bookmarkStart w:id="417" w:name="_Toc378351545"/>
      <w:bookmarkStart w:id="418" w:name="_Toc377653240"/>
      <w:bookmarkStart w:id="419" w:name="_Toc377650971"/>
      <w:bookmarkStart w:id="420" w:name="_Toc377650844"/>
      <w:bookmarkStart w:id="421" w:name="_Toc377648991"/>
      <w:bookmarkStart w:id="422" w:name="_Toc377646056"/>
      <w:bookmarkStart w:id="423" w:name="_Toc378859068"/>
      <w:bookmarkStart w:id="424" w:name="_Toc378858840"/>
      <w:bookmarkStart w:id="425" w:name="_Toc378841241"/>
      <w:bookmarkStart w:id="426" w:name="_Toc378776161"/>
      <w:bookmarkStart w:id="427" w:name="_Toc378774966"/>
      <w:bookmarkStart w:id="428" w:name="_Toc378767371"/>
      <w:bookmarkStart w:id="429" w:name="_Toc378765623"/>
      <w:bookmarkStart w:id="430" w:name="_Toc378762146"/>
      <w:bookmarkStart w:id="431" w:name="_Toc378762008"/>
      <w:bookmarkStart w:id="432" w:name="_Toc378761868"/>
      <w:bookmarkStart w:id="433" w:name="_Toc378761555"/>
      <w:bookmarkStart w:id="434" w:name="_Toc378761412"/>
      <w:bookmarkStart w:id="435" w:name="_Toc378761269"/>
      <w:bookmarkStart w:id="436" w:name="_Toc378761126"/>
      <w:bookmarkStart w:id="437" w:name="_Toc378692424"/>
      <w:bookmarkStart w:id="438" w:name="_Toc378692287"/>
      <w:bookmarkStart w:id="439" w:name="_Toc378692150"/>
      <w:bookmarkStart w:id="440" w:name="_Toc378691693"/>
      <w:bookmarkStart w:id="441" w:name="_Toc378685484"/>
      <w:bookmarkStart w:id="442" w:name="_Toc378685348"/>
      <w:bookmarkStart w:id="443" w:name="_Toc378683660"/>
      <w:bookmarkStart w:id="444" w:name="_Toc378682213"/>
      <w:bookmarkStart w:id="445" w:name="_Toc378681293"/>
      <w:bookmarkStart w:id="446" w:name="_Toc378351544"/>
      <w:bookmarkStart w:id="447" w:name="_Toc377653239"/>
      <w:bookmarkStart w:id="448" w:name="_Toc377650970"/>
      <w:bookmarkStart w:id="449" w:name="_Toc377650843"/>
      <w:bookmarkStart w:id="450" w:name="_Toc377648990"/>
      <w:bookmarkStart w:id="451" w:name="_Toc377646055"/>
      <w:bookmarkStart w:id="452" w:name="_Toc378859067"/>
      <w:bookmarkStart w:id="453" w:name="_Toc378858839"/>
      <w:bookmarkStart w:id="454" w:name="_Toc378841240"/>
      <w:bookmarkStart w:id="455" w:name="_Toc378776160"/>
      <w:bookmarkStart w:id="456" w:name="_Toc378774965"/>
      <w:bookmarkStart w:id="457" w:name="_Toc378767370"/>
      <w:bookmarkStart w:id="458" w:name="_Toc378765622"/>
      <w:bookmarkStart w:id="459" w:name="_Toc378762145"/>
      <w:bookmarkStart w:id="460" w:name="_Toc378762007"/>
      <w:bookmarkStart w:id="461" w:name="_Toc378761867"/>
      <w:bookmarkStart w:id="462" w:name="_Toc378761554"/>
      <w:bookmarkStart w:id="463" w:name="_Toc378761411"/>
      <w:bookmarkStart w:id="464" w:name="_Toc378761268"/>
      <w:bookmarkStart w:id="465" w:name="_Toc378761125"/>
      <w:bookmarkStart w:id="466" w:name="_Toc378692423"/>
      <w:bookmarkStart w:id="467" w:name="_Toc378692286"/>
      <w:bookmarkStart w:id="468" w:name="_Toc378692149"/>
      <w:bookmarkStart w:id="469" w:name="_Toc378691692"/>
      <w:bookmarkStart w:id="470" w:name="_Toc378685483"/>
      <w:bookmarkStart w:id="471" w:name="_Toc378685347"/>
      <w:bookmarkStart w:id="472" w:name="_Toc378683659"/>
      <w:bookmarkStart w:id="473" w:name="_Toc378682212"/>
      <w:bookmarkStart w:id="474" w:name="_Toc378681292"/>
      <w:bookmarkStart w:id="475" w:name="_Toc378351543"/>
      <w:bookmarkStart w:id="476" w:name="_Toc377653238"/>
      <w:bookmarkStart w:id="477" w:name="_Toc377650969"/>
      <w:bookmarkStart w:id="478" w:name="_Toc377650842"/>
      <w:bookmarkStart w:id="479" w:name="_Toc377648989"/>
      <w:bookmarkStart w:id="480" w:name="_Toc377646054"/>
      <w:bookmarkStart w:id="481" w:name="_Toc388374208"/>
      <w:bookmarkStart w:id="482" w:name="_Toc388285108"/>
      <w:bookmarkStart w:id="483" w:name="_Toc388282842"/>
      <w:bookmarkStart w:id="484" w:name="_Toc388282394"/>
      <w:bookmarkStart w:id="485" w:name="_Toc388281912"/>
      <w:bookmarkStart w:id="486" w:name="_Toc388281456"/>
      <w:bookmarkStart w:id="487" w:name="_Toc387245106"/>
      <w:bookmarkStart w:id="488" w:name="_Toc388285035"/>
      <w:bookmarkStart w:id="489" w:name="_Toc388282769"/>
      <w:bookmarkStart w:id="490" w:name="_Toc388282321"/>
      <w:bookmarkStart w:id="491" w:name="_Toc388281839"/>
      <w:bookmarkStart w:id="492" w:name="_Toc388281383"/>
      <w:bookmarkStart w:id="493" w:name="_Toc387245033"/>
      <w:bookmarkStart w:id="494" w:name="_Toc388374152"/>
      <w:bookmarkStart w:id="495" w:name="_Toc388285034"/>
      <w:bookmarkStart w:id="496" w:name="_Toc388282768"/>
      <w:bookmarkStart w:id="497" w:name="_Toc388282320"/>
      <w:bookmarkStart w:id="498" w:name="_Toc388281838"/>
      <w:bookmarkStart w:id="499" w:name="_Toc388281382"/>
      <w:bookmarkStart w:id="500" w:name="_Toc387245032"/>
      <w:bookmarkStart w:id="501" w:name="_Toc388374151"/>
      <w:bookmarkStart w:id="502" w:name="_Toc388285033"/>
      <w:bookmarkStart w:id="503" w:name="_Toc388282767"/>
      <w:bookmarkStart w:id="504" w:name="_Toc388282319"/>
      <w:bookmarkStart w:id="505" w:name="_Toc388281837"/>
      <w:bookmarkStart w:id="506" w:name="_Toc388281381"/>
      <w:bookmarkStart w:id="507" w:name="_Toc387245031"/>
      <w:bookmarkStart w:id="508" w:name="_Toc388374150"/>
      <w:bookmarkStart w:id="509" w:name="_Toc388285032"/>
      <w:bookmarkStart w:id="510" w:name="_Toc388282766"/>
      <w:bookmarkStart w:id="511" w:name="_Toc388282318"/>
      <w:bookmarkStart w:id="512" w:name="_Toc388281836"/>
      <w:bookmarkStart w:id="513" w:name="_Toc388281380"/>
      <w:bookmarkStart w:id="514" w:name="_Toc387245030"/>
      <w:bookmarkStart w:id="515" w:name="_Toc388374149"/>
      <w:bookmarkStart w:id="516" w:name="_Toc388285031"/>
      <w:bookmarkStart w:id="517" w:name="_Toc388282765"/>
      <w:bookmarkStart w:id="518" w:name="_Toc388282317"/>
      <w:bookmarkStart w:id="519" w:name="_Toc388281835"/>
      <w:bookmarkStart w:id="520" w:name="_Toc388281379"/>
      <w:bookmarkStart w:id="521" w:name="_Toc387245029"/>
      <w:bookmarkStart w:id="522" w:name="_Toc388374148"/>
      <w:bookmarkStart w:id="523" w:name="_Toc388285030"/>
      <w:bookmarkStart w:id="524" w:name="_Toc388282764"/>
      <w:bookmarkStart w:id="525" w:name="_Toc388282316"/>
      <w:bookmarkStart w:id="526" w:name="_Toc388281834"/>
      <w:bookmarkStart w:id="527" w:name="_Toc388281378"/>
      <w:bookmarkStart w:id="528" w:name="_Toc387245028"/>
      <w:bookmarkStart w:id="529" w:name="_Toc388374131"/>
      <w:bookmarkStart w:id="530" w:name="_Toc388285005"/>
      <w:bookmarkStart w:id="531" w:name="_Toc388282739"/>
      <w:bookmarkStart w:id="532" w:name="_Toc388282291"/>
      <w:bookmarkStart w:id="533" w:name="_Toc388281809"/>
      <w:bookmarkStart w:id="534" w:name="_Toc388281353"/>
      <w:bookmarkStart w:id="535" w:name="_Toc387245003"/>
      <w:bookmarkStart w:id="536" w:name="_Toc388284980"/>
      <w:bookmarkStart w:id="537" w:name="_Toc388282714"/>
      <w:bookmarkStart w:id="538" w:name="_Toc388282266"/>
      <w:bookmarkStart w:id="539" w:name="_Toc388281784"/>
      <w:bookmarkStart w:id="540" w:name="_Toc388281328"/>
      <w:bookmarkStart w:id="541" w:name="_Toc387244978"/>
      <w:bookmarkStart w:id="542" w:name="_Toc388374113"/>
      <w:bookmarkStart w:id="543" w:name="_Toc388284979"/>
      <w:bookmarkStart w:id="544" w:name="_Toc388282713"/>
      <w:bookmarkStart w:id="545" w:name="_Toc388282265"/>
      <w:bookmarkStart w:id="546" w:name="_Toc388281783"/>
      <w:bookmarkStart w:id="547" w:name="_Toc388281327"/>
      <w:bookmarkStart w:id="548" w:name="_Toc387244977"/>
      <w:bookmarkStart w:id="549" w:name="_Toc388282707"/>
      <w:bookmarkStart w:id="550" w:name="_Toc388282259"/>
      <w:bookmarkStart w:id="551" w:name="_Toc388281777"/>
      <w:bookmarkStart w:id="552" w:name="_Toc388281321"/>
      <w:bookmarkStart w:id="553" w:name="_Toc388282706"/>
      <w:bookmarkStart w:id="554" w:name="_Toc388282258"/>
      <w:bookmarkStart w:id="555" w:name="_Toc388281776"/>
      <w:bookmarkStart w:id="556" w:name="_Toc388281320"/>
      <w:bookmarkStart w:id="557" w:name="_Toc388282705"/>
      <w:bookmarkStart w:id="558" w:name="_Toc388282257"/>
      <w:bookmarkStart w:id="559" w:name="_Toc388281775"/>
      <w:bookmarkStart w:id="560" w:name="_Toc388281319"/>
      <w:bookmarkStart w:id="561" w:name="_Toc388282704"/>
      <w:bookmarkStart w:id="562" w:name="_Toc388282256"/>
      <w:bookmarkStart w:id="563" w:name="_Toc388281774"/>
      <w:bookmarkStart w:id="564" w:name="_Toc388281318"/>
      <w:bookmarkStart w:id="565" w:name="_Toc388374102"/>
      <w:bookmarkStart w:id="566" w:name="_Toc388284968"/>
      <w:bookmarkStart w:id="567" w:name="_Toc388282699"/>
      <w:bookmarkStart w:id="568" w:name="_Toc388282251"/>
      <w:bookmarkStart w:id="569" w:name="_Toc388281769"/>
      <w:bookmarkStart w:id="570" w:name="_Toc388281313"/>
      <w:bookmarkStart w:id="571" w:name="_Toc388374094"/>
      <w:bookmarkStart w:id="572" w:name="_Toc388284956"/>
      <w:bookmarkStart w:id="573" w:name="_Toc388282687"/>
      <w:bookmarkStart w:id="574" w:name="_Toc388282239"/>
      <w:bookmarkStart w:id="575" w:name="_Toc388281757"/>
      <w:bookmarkStart w:id="576" w:name="_Toc388281301"/>
      <w:bookmarkStart w:id="577" w:name="_Toc388374092"/>
      <w:bookmarkStart w:id="578" w:name="_Toc388284953"/>
      <w:bookmarkStart w:id="579" w:name="_Toc388282684"/>
      <w:bookmarkStart w:id="580" w:name="_Toc388282236"/>
      <w:bookmarkStart w:id="581" w:name="_Toc388281754"/>
      <w:bookmarkStart w:id="582" w:name="_Toc388281298"/>
      <w:bookmarkStart w:id="583" w:name="_Toc388374090"/>
      <w:bookmarkStart w:id="584" w:name="_Toc388284950"/>
      <w:bookmarkStart w:id="585" w:name="_Toc388282681"/>
      <w:bookmarkStart w:id="586" w:name="_Toc388282233"/>
      <w:bookmarkStart w:id="587" w:name="_Toc388281751"/>
      <w:bookmarkStart w:id="588" w:name="_Toc388281295"/>
      <w:bookmarkStart w:id="589" w:name="_Toc388374088"/>
      <w:bookmarkStart w:id="590" w:name="_Toc388284947"/>
      <w:bookmarkStart w:id="591" w:name="_Toc388282678"/>
      <w:bookmarkStart w:id="592" w:name="_Toc388282230"/>
      <w:bookmarkStart w:id="593" w:name="_Toc388281748"/>
      <w:bookmarkStart w:id="594" w:name="_Toc388281292"/>
      <w:bookmarkStart w:id="595" w:name="_Toc388284933"/>
      <w:bookmarkStart w:id="596" w:name="_Toc388282664"/>
      <w:bookmarkStart w:id="597" w:name="_Toc388282216"/>
      <w:bookmarkStart w:id="598" w:name="_Toc388281734"/>
      <w:bookmarkStart w:id="599" w:name="_Toc388281278"/>
      <w:bookmarkStart w:id="600" w:name="_Toc378859063"/>
      <w:bookmarkStart w:id="601" w:name="_Toc378858835"/>
      <w:bookmarkStart w:id="602" w:name="_Toc378841236"/>
      <w:bookmarkStart w:id="603" w:name="_Toc378776156"/>
      <w:bookmarkStart w:id="604" w:name="_Toc378774961"/>
      <w:bookmarkStart w:id="605" w:name="_Toc378767366"/>
      <w:bookmarkStart w:id="606" w:name="_Toc378765618"/>
      <w:bookmarkStart w:id="607" w:name="_Toc378762141"/>
      <w:bookmarkStart w:id="608" w:name="_Toc378762003"/>
      <w:bookmarkStart w:id="609" w:name="_Toc378761863"/>
      <w:bookmarkStart w:id="610" w:name="_Toc378761550"/>
      <w:bookmarkStart w:id="611" w:name="_Toc378761407"/>
      <w:bookmarkStart w:id="612" w:name="_Toc378761264"/>
      <w:bookmarkStart w:id="613" w:name="_Toc378761121"/>
      <w:bookmarkStart w:id="614" w:name="_Toc378692419"/>
      <w:bookmarkStart w:id="615" w:name="_Toc378692282"/>
      <w:bookmarkStart w:id="616" w:name="_Toc378692145"/>
      <w:bookmarkStart w:id="617" w:name="_Toc378691688"/>
      <w:bookmarkStart w:id="618" w:name="_Toc378685479"/>
      <w:bookmarkStart w:id="619" w:name="_Toc378685343"/>
      <w:bookmarkStart w:id="620" w:name="_Toc378683655"/>
      <w:bookmarkStart w:id="621" w:name="_Toc378682208"/>
      <w:bookmarkStart w:id="622" w:name="_Toc378681288"/>
      <w:bookmarkStart w:id="623" w:name="_Toc378351539"/>
      <w:bookmarkStart w:id="624" w:name="_Toc377653234"/>
      <w:bookmarkStart w:id="625" w:name="_Toc377650965"/>
      <w:bookmarkStart w:id="626" w:name="_Toc377650838"/>
      <w:bookmarkStart w:id="627" w:name="_Toc377648985"/>
      <w:bookmarkStart w:id="628" w:name="_Toc377646050"/>
      <w:bookmarkStart w:id="629" w:name="_Toc378859062"/>
      <w:bookmarkStart w:id="630" w:name="_Toc378858834"/>
      <w:bookmarkStart w:id="631" w:name="_Toc378841235"/>
      <w:bookmarkStart w:id="632" w:name="_Toc378776155"/>
      <w:bookmarkStart w:id="633" w:name="_Toc378774960"/>
      <w:bookmarkStart w:id="634" w:name="_Toc378767365"/>
      <w:bookmarkStart w:id="635" w:name="_Toc378765617"/>
      <w:bookmarkStart w:id="636" w:name="_Toc378762140"/>
      <w:bookmarkStart w:id="637" w:name="_Toc378762002"/>
      <w:bookmarkStart w:id="638" w:name="_Toc378761862"/>
      <w:bookmarkStart w:id="639" w:name="_Toc378761549"/>
      <w:bookmarkStart w:id="640" w:name="_Toc378761406"/>
      <w:bookmarkStart w:id="641" w:name="_Toc378761263"/>
      <w:bookmarkStart w:id="642" w:name="_Toc378761120"/>
      <w:bookmarkStart w:id="643" w:name="_Toc378692418"/>
      <w:bookmarkStart w:id="644" w:name="_Toc378692281"/>
      <w:bookmarkStart w:id="645" w:name="_Toc378692144"/>
      <w:bookmarkStart w:id="646" w:name="_Toc378691687"/>
      <w:bookmarkStart w:id="647" w:name="_Toc378685478"/>
      <w:bookmarkStart w:id="648" w:name="_Toc378685342"/>
      <w:bookmarkStart w:id="649" w:name="_Toc378683654"/>
      <w:bookmarkStart w:id="650" w:name="_Toc378682207"/>
      <w:bookmarkStart w:id="651" w:name="_Toc378681287"/>
      <w:bookmarkStart w:id="652" w:name="_Toc378351538"/>
      <w:bookmarkStart w:id="653" w:name="_Toc377653233"/>
      <w:bookmarkStart w:id="654" w:name="_Toc377650964"/>
      <w:bookmarkStart w:id="655" w:name="_Toc377650837"/>
      <w:bookmarkStart w:id="656" w:name="_Toc377648984"/>
      <w:bookmarkStart w:id="657" w:name="_Toc377646049"/>
      <w:bookmarkStart w:id="658" w:name="_Toc378859061"/>
      <w:bookmarkStart w:id="659" w:name="_Toc378858833"/>
      <w:bookmarkStart w:id="660" w:name="_Toc378841234"/>
      <w:bookmarkStart w:id="661" w:name="_Toc378776154"/>
      <w:bookmarkStart w:id="662" w:name="_Toc378774959"/>
      <w:bookmarkStart w:id="663" w:name="_Toc378767364"/>
      <w:bookmarkStart w:id="664" w:name="_Toc378765616"/>
      <w:bookmarkStart w:id="665" w:name="_Toc378762139"/>
      <w:bookmarkStart w:id="666" w:name="_Toc378762001"/>
      <w:bookmarkStart w:id="667" w:name="_Toc378761861"/>
      <w:bookmarkStart w:id="668" w:name="_Toc378761548"/>
      <w:bookmarkStart w:id="669" w:name="_Toc378761405"/>
      <w:bookmarkStart w:id="670" w:name="_Toc378761262"/>
      <w:bookmarkStart w:id="671" w:name="_Toc378761119"/>
      <w:bookmarkStart w:id="672" w:name="_Toc378692417"/>
      <w:bookmarkStart w:id="673" w:name="_Toc378692280"/>
      <w:bookmarkStart w:id="674" w:name="_Toc378692143"/>
      <w:bookmarkStart w:id="675" w:name="_Toc378691686"/>
      <w:bookmarkStart w:id="676" w:name="_Toc378685477"/>
      <w:bookmarkStart w:id="677" w:name="_Toc378685341"/>
      <w:bookmarkStart w:id="678" w:name="_Toc378683653"/>
      <w:bookmarkStart w:id="679" w:name="_Toc378682206"/>
      <w:bookmarkStart w:id="680" w:name="_Toc378681286"/>
      <w:bookmarkStart w:id="681" w:name="_Toc378351537"/>
      <w:bookmarkStart w:id="682" w:name="_Toc377653232"/>
      <w:bookmarkStart w:id="683" w:name="_Toc377650963"/>
      <w:bookmarkStart w:id="684" w:name="_Toc377650836"/>
      <w:bookmarkStart w:id="685" w:name="_Toc377648983"/>
      <w:bookmarkStart w:id="686" w:name="_Toc377646048"/>
      <w:bookmarkStart w:id="687" w:name="_Toc378859060"/>
      <w:bookmarkStart w:id="688" w:name="_Toc378858832"/>
      <w:bookmarkStart w:id="689" w:name="_Toc378841233"/>
      <w:bookmarkStart w:id="690" w:name="_Toc378776153"/>
      <w:bookmarkStart w:id="691" w:name="_Toc378774958"/>
      <w:bookmarkStart w:id="692" w:name="_Toc378767363"/>
      <w:bookmarkStart w:id="693" w:name="_Toc378765615"/>
      <w:bookmarkStart w:id="694" w:name="_Toc378762138"/>
      <w:bookmarkStart w:id="695" w:name="_Toc378762000"/>
      <w:bookmarkStart w:id="696" w:name="_Toc378761860"/>
      <w:bookmarkStart w:id="697" w:name="_Toc378761547"/>
      <w:bookmarkStart w:id="698" w:name="_Toc378761404"/>
      <w:bookmarkStart w:id="699" w:name="_Toc378761261"/>
      <w:bookmarkStart w:id="700" w:name="_Toc378761118"/>
      <w:bookmarkStart w:id="701" w:name="_Toc378692416"/>
      <w:bookmarkStart w:id="702" w:name="_Toc378692279"/>
      <w:bookmarkStart w:id="703" w:name="_Toc378692142"/>
      <w:bookmarkStart w:id="704" w:name="_Toc378691685"/>
      <w:bookmarkStart w:id="705" w:name="_Toc378685476"/>
      <w:bookmarkStart w:id="706" w:name="_Toc378685340"/>
      <w:bookmarkStart w:id="707" w:name="_Toc378683652"/>
      <w:bookmarkStart w:id="708" w:name="_Toc378682205"/>
      <w:bookmarkStart w:id="709" w:name="_Toc378681285"/>
      <w:bookmarkStart w:id="710" w:name="_Toc378351536"/>
      <w:bookmarkStart w:id="711" w:name="_Toc377653231"/>
      <w:bookmarkStart w:id="712" w:name="_Toc377650962"/>
      <w:bookmarkStart w:id="713" w:name="_Toc377650835"/>
      <w:bookmarkStart w:id="714" w:name="_Toc377648982"/>
      <w:bookmarkStart w:id="715" w:name="_Toc377646047"/>
      <w:bookmarkStart w:id="716" w:name="_Toc377644817"/>
      <w:bookmarkStart w:id="717" w:name="_Toc377644220"/>
      <w:bookmarkStart w:id="718" w:name="_Toc388374077"/>
      <w:bookmarkStart w:id="719" w:name="_Toc388284932"/>
      <w:bookmarkStart w:id="720" w:name="_Toc388282663"/>
      <w:bookmarkStart w:id="721" w:name="_Toc388282215"/>
      <w:bookmarkStart w:id="722" w:name="_Toc388281733"/>
      <w:bookmarkStart w:id="723" w:name="_Toc388281277"/>
      <w:bookmarkStart w:id="724" w:name="_Toc388284931"/>
      <w:bookmarkStart w:id="725" w:name="_Toc388282662"/>
      <w:bookmarkStart w:id="726" w:name="_Toc388282214"/>
      <w:bookmarkStart w:id="727" w:name="_Toc388281732"/>
      <w:bookmarkStart w:id="728" w:name="_Toc388281276"/>
      <w:bookmarkStart w:id="729" w:name="_Toc388374075"/>
      <w:bookmarkStart w:id="730" w:name="_Toc388284930"/>
      <w:bookmarkStart w:id="731" w:name="_Toc388282661"/>
      <w:bookmarkStart w:id="732" w:name="_Toc388282213"/>
      <w:bookmarkStart w:id="733" w:name="_Toc388281731"/>
      <w:bookmarkStart w:id="734" w:name="_Toc388281275"/>
      <w:bookmarkStart w:id="735" w:name="_Toc388282656"/>
      <w:bookmarkStart w:id="736" w:name="_Toc388282208"/>
      <w:bookmarkStart w:id="737" w:name="_Toc388281726"/>
      <w:bookmarkStart w:id="738" w:name="_Toc388281270"/>
      <w:bookmarkStart w:id="739" w:name="_Toc388282655"/>
      <w:bookmarkStart w:id="740" w:name="_Toc388282207"/>
      <w:bookmarkStart w:id="741" w:name="_Toc388281725"/>
      <w:bookmarkStart w:id="742" w:name="_Toc388281269"/>
      <w:bookmarkStart w:id="743" w:name="_Toc387250771"/>
      <w:bookmarkStart w:id="744" w:name="_Toc387244962"/>
      <w:bookmarkStart w:id="745" w:name="_Toc388282654"/>
      <w:bookmarkStart w:id="746" w:name="_Toc388282206"/>
      <w:bookmarkStart w:id="747" w:name="_Toc388281724"/>
      <w:bookmarkStart w:id="748" w:name="_Toc388281268"/>
      <w:bookmarkStart w:id="749" w:name="_Toc387250770"/>
      <w:bookmarkStart w:id="750" w:name="_Toc387244961"/>
      <w:bookmarkStart w:id="751" w:name="_Toc389728892"/>
      <w:bookmarkStart w:id="752" w:name="_Toc389728534"/>
      <w:bookmarkStart w:id="753" w:name="_Toc389728174"/>
      <w:bookmarkStart w:id="754" w:name="_Toc389727815"/>
      <w:bookmarkStart w:id="755" w:name="_Toc389727456"/>
      <w:bookmarkStart w:id="756" w:name="_Toc389727098"/>
      <w:bookmarkStart w:id="757" w:name="_Toc389726046"/>
      <w:bookmarkStart w:id="758" w:name="_Toc389725110"/>
      <w:bookmarkStart w:id="759" w:name="_Toc388282635"/>
      <w:bookmarkStart w:id="760" w:name="_Toc388282187"/>
      <w:bookmarkStart w:id="761" w:name="_Toc388281705"/>
      <w:bookmarkStart w:id="762" w:name="_Toc388281249"/>
      <w:bookmarkStart w:id="763" w:name="_Toc387250765"/>
      <w:bookmarkStart w:id="764" w:name="_Toc387244941"/>
      <w:bookmarkStart w:id="765" w:name="_Toc388282634"/>
      <w:bookmarkStart w:id="766" w:name="_Toc388282186"/>
      <w:bookmarkStart w:id="767" w:name="_Toc388281704"/>
      <w:bookmarkStart w:id="768" w:name="_Toc388281248"/>
      <w:bookmarkStart w:id="769" w:name="_Toc387250764"/>
      <w:bookmarkStart w:id="770" w:name="_Toc387244940"/>
      <w:bookmarkStart w:id="771" w:name="_Toc388282633"/>
      <w:bookmarkStart w:id="772" w:name="_Toc388282185"/>
      <w:bookmarkStart w:id="773" w:name="_Toc388281703"/>
      <w:bookmarkStart w:id="774" w:name="_Toc388281247"/>
      <w:bookmarkStart w:id="775" w:name="_Toc387250763"/>
      <w:bookmarkStart w:id="776" w:name="_Toc387244939"/>
      <w:bookmarkStart w:id="777" w:name="_Toc388282632"/>
      <w:bookmarkStart w:id="778" w:name="_Toc388282184"/>
      <w:bookmarkStart w:id="779" w:name="_Toc388281702"/>
      <w:bookmarkStart w:id="780" w:name="_Toc388281246"/>
      <w:bookmarkStart w:id="781" w:name="_Toc387250762"/>
      <w:bookmarkStart w:id="782" w:name="_Toc387244938"/>
      <w:bookmarkStart w:id="783" w:name="_Toc388282631"/>
      <w:bookmarkStart w:id="784" w:name="_Toc388282183"/>
      <w:bookmarkStart w:id="785" w:name="_Toc388281701"/>
      <w:bookmarkStart w:id="786" w:name="_Toc388281245"/>
      <w:bookmarkStart w:id="787" w:name="_Toc387250761"/>
      <w:bookmarkStart w:id="788" w:name="_Toc387244937"/>
      <w:bookmarkStart w:id="789" w:name="_Toc388282630"/>
      <w:bookmarkStart w:id="790" w:name="_Toc388282182"/>
      <w:bookmarkStart w:id="791" w:name="_Toc388281700"/>
      <w:bookmarkStart w:id="792" w:name="_Toc388281244"/>
      <w:bookmarkStart w:id="793" w:name="_Toc387250760"/>
      <w:bookmarkStart w:id="794" w:name="_Toc387244936"/>
      <w:bookmarkStart w:id="795" w:name="_Toc388282629"/>
      <w:bookmarkStart w:id="796" w:name="_Toc388282181"/>
      <w:bookmarkStart w:id="797" w:name="_Toc388281699"/>
      <w:bookmarkStart w:id="798" w:name="_Toc388281243"/>
      <w:bookmarkStart w:id="799" w:name="_Toc387250759"/>
      <w:bookmarkStart w:id="800" w:name="_Toc387244935"/>
      <w:bookmarkStart w:id="801" w:name="_Toc388374053"/>
      <w:bookmarkStart w:id="802" w:name="_Toc387250756"/>
      <w:bookmarkStart w:id="803" w:name="_Toc387244932"/>
      <w:bookmarkStart w:id="804" w:name="_Toc387250754"/>
      <w:bookmarkStart w:id="805" w:name="_Toc387244930"/>
      <w:bookmarkStart w:id="806" w:name="_Toc387250753"/>
      <w:bookmarkStart w:id="807" w:name="_Toc387244929"/>
      <w:bookmarkStart w:id="808" w:name="_Toc388374050"/>
      <w:bookmarkStart w:id="809" w:name="_Toc387250751"/>
      <w:bookmarkStart w:id="810" w:name="_Toc387244927"/>
      <w:bookmarkStart w:id="811" w:name="_Toc389728912"/>
      <w:bookmarkStart w:id="812" w:name="_Toc53186865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lastRenderedPageBreak/>
        <w:t>Assessment of the biocidal product</w:t>
      </w:r>
      <w:bookmarkEnd w:id="811"/>
      <w:bookmarkEnd w:id="812"/>
      <w:r>
        <w:t xml:space="preserve"> </w:t>
      </w:r>
    </w:p>
    <w:p w14:paraId="504F9A4E" w14:textId="77777777" w:rsidR="00CF59EF" w:rsidRPr="002002AB" w:rsidRDefault="000B5D37" w:rsidP="00172945">
      <w:pPr>
        <w:pStyle w:val="Heading2"/>
        <w:numPr>
          <w:ilvl w:val="2"/>
          <w:numId w:val="2"/>
        </w:numPr>
        <w:ind w:left="720"/>
      </w:pPr>
      <w:bookmarkStart w:id="813" w:name="_Toc423017259"/>
      <w:bookmarkStart w:id="814" w:name="_Toc531868652"/>
      <w:r w:rsidRPr="002002AB">
        <w:t>Intended use(s) as applied for by the applicant</w:t>
      </w:r>
      <w:bookmarkEnd w:id="813"/>
      <w:bookmarkEnd w:id="814"/>
      <w:r w:rsidRPr="002002AB">
        <w:t xml:space="preserve"> </w:t>
      </w:r>
    </w:p>
    <w:p w14:paraId="18DF8851" w14:textId="77777777" w:rsidR="00325F56" w:rsidRPr="00325F56" w:rsidRDefault="00325F56" w:rsidP="00325F56">
      <w:pPr>
        <w:pStyle w:val="Absatz"/>
        <w:ind w:left="0"/>
      </w:pPr>
      <w:r>
        <w:rPr>
          <w:rFonts w:ascii="Verdana" w:hAnsi="Verdana"/>
        </w:rPr>
        <w:t xml:space="preserve">The intended use reflects the use as originally proposed by the applicant, this can differ from the authorised use (see 2.1.4) </w:t>
      </w:r>
    </w:p>
    <w:p w14:paraId="527D4711" w14:textId="77777777" w:rsidR="00325F56" w:rsidRDefault="00325F56">
      <w:pPr>
        <w:pStyle w:val="Caption"/>
        <w:spacing w:after="120"/>
        <w:ind w:left="0" w:firstLine="0"/>
        <w:rPr>
          <w:rFonts w:ascii="Verdana" w:hAnsi="Verdana"/>
        </w:rPr>
      </w:pPr>
    </w:p>
    <w:p w14:paraId="2B1C477F" w14:textId="77777777" w:rsidR="00CF59EF" w:rsidRDefault="000B5D37">
      <w:pPr>
        <w:pStyle w:val="Caption"/>
        <w:spacing w:after="120"/>
        <w:ind w:left="0" w:firstLine="0"/>
        <w:rPr>
          <w:rFonts w:ascii="Verdana" w:hAnsi="Verdana"/>
        </w:rPr>
      </w:pPr>
      <w:r>
        <w:rPr>
          <w:rFonts w:ascii="Verdana" w:hAnsi="Verdana"/>
        </w:rPr>
        <w:t xml:space="preserve">Table </w:t>
      </w:r>
      <w:r>
        <w:rPr>
          <w:rFonts w:ascii="Verdana" w:hAnsi="Verdana"/>
        </w:rPr>
        <w:fldChar w:fldCharType="begin"/>
      </w:r>
      <w:r>
        <w:instrText>SEQ Tabel \* ARABIC</w:instrText>
      </w:r>
      <w:r>
        <w:fldChar w:fldCharType="separate"/>
      </w:r>
      <w:r w:rsidR="006D2428">
        <w:rPr>
          <w:noProof/>
        </w:rPr>
        <w:t>2</w:t>
      </w:r>
      <w:r>
        <w:fldChar w:fldCharType="end"/>
      </w:r>
      <w:r>
        <w:rPr>
          <w:rFonts w:ascii="Verdana" w:hAnsi="Verdana"/>
        </w:rPr>
        <w:t>. Intended use # 1 – name of the use</w:t>
      </w:r>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4A0" w:firstRow="1" w:lastRow="0" w:firstColumn="1" w:lastColumn="0" w:noHBand="0" w:noVBand="1"/>
      </w:tblPr>
      <w:tblGrid>
        <w:gridCol w:w="2707"/>
        <w:gridCol w:w="6318"/>
      </w:tblGrid>
      <w:tr w:rsidR="00CF59EF" w14:paraId="27BF4D96" w14:textId="77777777">
        <w:tc>
          <w:tcPr>
            <w:tcW w:w="270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6EF9153" w14:textId="77777777" w:rsidR="00CF59EF" w:rsidRDefault="000B5D37">
            <w:pPr>
              <w:rPr>
                <w:rFonts w:cs="Arial"/>
                <w:bCs/>
                <w:lang w:val="de-DE"/>
              </w:rPr>
            </w:pPr>
            <w:r>
              <w:rPr>
                <w:rFonts w:cs="Arial"/>
                <w:bCs/>
              </w:rPr>
              <w:t>Product Type(s)</w:t>
            </w:r>
          </w:p>
        </w:tc>
        <w:tc>
          <w:tcPr>
            <w:tcW w:w="6317" w:type="dxa"/>
            <w:tcBorders>
              <w:top w:val="single" w:sz="4" w:space="0" w:color="000001"/>
              <w:bottom w:val="single" w:sz="4" w:space="0" w:color="000001"/>
              <w:right w:val="single" w:sz="4" w:space="0" w:color="000001"/>
            </w:tcBorders>
            <w:shd w:val="clear" w:color="auto" w:fill="auto"/>
          </w:tcPr>
          <w:p w14:paraId="5FA71436" w14:textId="77777777" w:rsidR="00CF59EF" w:rsidRDefault="000B5D37">
            <w:pPr>
              <w:rPr>
                <w:rFonts w:cs="Arial"/>
                <w:bCs/>
                <w:lang w:val="de-DE"/>
              </w:rPr>
            </w:pPr>
            <w:r>
              <w:rPr>
                <w:rFonts w:cs="Arial"/>
                <w:bCs/>
                <w:lang w:val="de-DE"/>
              </w:rPr>
              <w:t>6</w:t>
            </w:r>
          </w:p>
        </w:tc>
      </w:tr>
      <w:tr w:rsidR="00CF59EF" w14:paraId="30189041"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71103188" w14:textId="77777777" w:rsidR="00CF59EF" w:rsidRDefault="000B5D37">
            <w:pPr>
              <w:rPr>
                <w:rFonts w:cs="Arial"/>
                <w:bCs/>
                <w:lang w:val="en-US"/>
              </w:rPr>
            </w:pPr>
            <w:r>
              <w:rPr>
                <w:rFonts w:cs="Arial"/>
                <w:bCs/>
              </w:rPr>
              <w:t>Where relevant, an exact description of the authorised use</w:t>
            </w:r>
          </w:p>
        </w:tc>
        <w:tc>
          <w:tcPr>
            <w:tcW w:w="6317" w:type="dxa"/>
            <w:tcBorders>
              <w:bottom w:val="single" w:sz="4" w:space="0" w:color="000001"/>
              <w:right w:val="single" w:sz="4" w:space="0" w:color="000001"/>
            </w:tcBorders>
            <w:shd w:val="clear" w:color="auto" w:fill="auto"/>
          </w:tcPr>
          <w:p w14:paraId="15491789" w14:textId="77777777" w:rsidR="00CF59EF" w:rsidRDefault="000B5D37" w:rsidP="00084A8D">
            <w:r>
              <w:t xml:space="preserve">The product </w:t>
            </w:r>
            <w:proofErr w:type="spellStart"/>
            <w:r>
              <w:t>Kalaguard</w:t>
            </w:r>
            <w:proofErr w:type="spellEnd"/>
            <w:r>
              <w:rPr>
                <w:vertAlign w:val="superscript"/>
              </w:rPr>
              <w:t>®</w:t>
            </w:r>
            <w:r>
              <w:t xml:space="preserve"> SB is intended to be used as an in-can preservative (PT6) in detergents, including dishwashing liquids, liquid laundry detergent and cleaners. The product is added to the articles needed to be preserved by either automated or manual dosing to achieve the resulting concentration of 0.25-2.5% (expressed as benzoic acid) in the final product. </w:t>
            </w:r>
          </w:p>
        </w:tc>
      </w:tr>
      <w:tr w:rsidR="00CF59EF" w14:paraId="3E1D529C"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3962CAE8" w14:textId="77777777" w:rsidR="00CF59EF" w:rsidRDefault="000B5D37">
            <w:pPr>
              <w:rPr>
                <w:rFonts w:cs="Arial"/>
                <w:bCs/>
                <w:lang w:val="en-US"/>
              </w:rPr>
            </w:pPr>
            <w:r>
              <w:rPr>
                <w:rFonts w:cs="Arial"/>
                <w:bCs/>
              </w:rPr>
              <w:t>Target organism (including development stage)</w:t>
            </w:r>
          </w:p>
        </w:tc>
        <w:tc>
          <w:tcPr>
            <w:tcW w:w="6317" w:type="dxa"/>
            <w:tcBorders>
              <w:bottom w:val="single" w:sz="4" w:space="0" w:color="000001"/>
              <w:right w:val="single" w:sz="4" w:space="0" w:color="000001"/>
            </w:tcBorders>
            <w:shd w:val="clear" w:color="auto" w:fill="auto"/>
          </w:tcPr>
          <w:p w14:paraId="1E0EF017" w14:textId="77777777" w:rsidR="00CF59EF" w:rsidRDefault="000B5D37">
            <w:pPr>
              <w:rPr>
                <w:rFonts w:cs="Arial"/>
                <w:bCs/>
              </w:rPr>
            </w:pPr>
            <w:r>
              <w:rPr>
                <w:rFonts w:cs="Arial"/>
                <w:bCs/>
              </w:rPr>
              <w:t>Bacteria, yeasts, fungi</w:t>
            </w:r>
          </w:p>
        </w:tc>
      </w:tr>
      <w:tr w:rsidR="00CF59EF" w14:paraId="248BD80B"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05F7039E" w14:textId="77777777" w:rsidR="00CF59EF" w:rsidRDefault="000B5D37">
            <w:pPr>
              <w:rPr>
                <w:rFonts w:cs="Arial"/>
                <w:bCs/>
                <w:lang w:val="de-DE"/>
              </w:rPr>
            </w:pPr>
            <w:r>
              <w:rPr>
                <w:rFonts w:cs="Arial"/>
                <w:bCs/>
              </w:rPr>
              <w:t>Field of use</w:t>
            </w:r>
          </w:p>
        </w:tc>
        <w:tc>
          <w:tcPr>
            <w:tcW w:w="6317" w:type="dxa"/>
            <w:tcBorders>
              <w:bottom w:val="single" w:sz="4" w:space="0" w:color="000001"/>
              <w:right w:val="single" w:sz="4" w:space="0" w:color="000001"/>
            </w:tcBorders>
            <w:shd w:val="clear" w:color="auto" w:fill="auto"/>
          </w:tcPr>
          <w:p w14:paraId="705268D0" w14:textId="77777777" w:rsidR="00CF59EF" w:rsidRDefault="000B5D37">
            <w:pPr>
              <w:rPr>
                <w:rFonts w:cs="Arial"/>
                <w:bCs/>
              </w:rPr>
            </w:pPr>
            <w:r>
              <w:t xml:space="preserve">In-can preservation of detergents (dishwashing liquids, laundry products, cleaners) </w:t>
            </w:r>
          </w:p>
        </w:tc>
      </w:tr>
      <w:tr w:rsidR="00CF59EF" w14:paraId="27E09D4C"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23EBE7CD" w14:textId="77777777" w:rsidR="00CF59EF" w:rsidRDefault="000B5D37">
            <w:pPr>
              <w:rPr>
                <w:rFonts w:cs="Arial"/>
                <w:bCs/>
                <w:lang w:val="de-DE"/>
              </w:rPr>
            </w:pPr>
            <w:r>
              <w:rPr>
                <w:rFonts w:cs="Arial"/>
                <w:bCs/>
              </w:rPr>
              <w:t>Application method(s)</w:t>
            </w:r>
          </w:p>
        </w:tc>
        <w:tc>
          <w:tcPr>
            <w:tcW w:w="6317" w:type="dxa"/>
            <w:tcBorders>
              <w:bottom w:val="single" w:sz="4" w:space="0" w:color="000001"/>
              <w:right w:val="single" w:sz="4" w:space="0" w:color="000001"/>
            </w:tcBorders>
            <w:shd w:val="clear" w:color="auto" w:fill="auto"/>
          </w:tcPr>
          <w:p w14:paraId="2C287A17" w14:textId="77777777" w:rsidR="00CF59EF" w:rsidRDefault="000B5D37">
            <w:pPr>
              <w:rPr>
                <w:rFonts w:cs="Arial"/>
                <w:bCs/>
                <w:lang w:val="de-DE"/>
              </w:rPr>
            </w:pPr>
            <w:proofErr w:type="spellStart"/>
            <w:r>
              <w:rPr>
                <w:rFonts w:cs="Arial"/>
                <w:bCs/>
                <w:lang w:val="de-DE"/>
              </w:rPr>
              <w:t>Automated</w:t>
            </w:r>
            <w:proofErr w:type="spellEnd"/>
            <w:r>
              <w:rPr>
                <w:rFonts w:cs="Arial"/>
                <w:bCs/>
                <w:lang w:val="de-DE"/>
              </w:rPr>
              <w:t xml:space="preserve"> </w:t>
            </w:r>
            <w:proofErr w:type="spellStart"/>
            <w:r>
              <w:rPr>
                <w:rFonts w:cs="Arial"/>
                <w:bCs/>
                <w:lang w:val="de-DE"/>
              </w:rPr>
              <w:t>or</w:t>
            </w:r>
            <w:proofErr w:type="spellEnd"/>
            <w:r>
              <w:rPr>
                <w:rFonts w:cs="Arial"/>
                <w:bCs/>
                <w:lang w:val="de-DE"/>
              </w:rPr>
              <w:t xml:space="preserve"> </w:t>
            </w:r>
            <w:proofErr w:type="spellStart"/>
            <w:r>
              <w:rPr>
                <w:rFonts w:cs="Arial"/>
                <w:bCs/>
                <w:lang w:val="de-DE"/>
              </w:rPr>
              <w:t>manual</w:t>
            </w:r>
            <w:proofErr w:type="spellEnd"/>
            <w:r>
              <w:rPr>
                <w:rFonts w:cs="Arial"/>
                <w:bCs/>
                <w:lang w:val="de-DE"/>
              </w:rPr>
              <w:t xml:space="preserve"> </w:t>
            </w:r>
            <w:proofErr w:type="spellStart"/>
            <w:r>
              <w:rPr>
                <w:rFonts w:cs="Arial"/>
                <w:bCs/>
                <w:lang w:val="de-DE"/>
              </w:rPr>
              <w:t>dosing</w:t>
            </w:r>
            <w:proofErr w:type="spellEnd"/>
          </w:p>
        </w:tc>
      </w:tr>
      <w:tr w:rsidR="00CF59EF" w14:paraId="2CC9A038"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6EFF3763" w14:textId="77777777" w:rsidR="00CF59EF" w:rsidRDefault="000B5D37">
            <w:pPr>
              <w:rPr>
                <w:rFonts w:cs="Arial"/>
                <w:bCs/>
                <w:lang w:val="en-US"/>
              </w:rPr>
            </w:pPr>
            <w:r>
              <w:rPr>
                <w:rFonts w:cs="Arial"/>
                <w:bCs/>
              </w:rPr>
              <w:t>Application rate(s) and frequency</w:t>
            </w:r>
          </w:p>
        </w:tc>
        <w:tc>
          <w:tcPr>
            <w:tcW w:w="6317" w:type="dxa"/>
            <w:tcBorders>
              <w:bottom w:val="single" w:sz="4" w:space="0" w:color="000001"/>
              <w:right w:val="single" w:sz="4" w:space="0" w:color="000001"/>
            </w:tcBorders>
            <w:shd w:val="clear" w:color="auto" w:fill="auto"/>
          </w:tcPr>
          <w:p w14:paraId="4FFCB571" w14:textId="77777777" w:rsidR="00CF59EF" w:rsidRDefault="000B5D37">
            <w:pPr>
              <w:rPr>
                <w:rFonts w:cs="Arial"/>
                <w:bCs/>
              </w:rPr>
            </w:pPr>
            <w:r>
              <w:rPr>
                <w:rFonts w:cs="Arial"/>
                <w:bCs/>
                <w:lang w:val="en-US"/>
              </w:rPr>
              <w:t>F</w:t>
            </w:r>
            <w:proofErr w:type="spellStart"/>
            <w:r>
              <w:rPr>
                <w:rFonts w:cs="Arial"/>
                <w:bCs/>
              </w:rPr>
              <w:t>illing</w:t>
            </w:r>
            <w:proofErr w:type="spellEnd"/>
            <w:r>
              <w:rPr>
                <w:rFonts w:cs="Arial"/>
                <w:bCs/>
              </w:rPr>
              <w:t xml:space="preserve"> of dosage systems is dependent on the production schedule and layout of the factory but typically in the range of once a week/month to multiple times per day.</w:t>
            </w:r>
          </w:p>
        </w:tc>
      </w:tr>
      <w:tr w:rsidR="00CF59EF" w14:paraId="5798697A"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4E145AF6" w14:textId="77777777" w:rsidR="00CF59EF" w:rsidRDefault="000B5D37">
            <w:pPr>
              <w:rPr>
                <w:rFonts w:cs="Arial"/>
                <w:bCs/>
              </w:rPr>
            </w:pPr>
            <w:r>
              <w:rPr>
                <w:rFonts w:cs="Arial"/>
                <w:bCs/>
              </w:rPr>
              <w:t>Category(</w:t>
            </w:r>
            <w:proofErr w:type="spellStart"/>
            <w:r>
              <w:rPr>
                <w:rFonts w:cs="Arial"/>
                <w:bCs/>
              </w:rPr>
              <w:t>ies</w:t>
            </w:r>
            <w:proofErr w:type="spellEnd"/>
            <w:r>
              <w:rPr>
                <w:rFonts w:cs="Arial"/>
                <w:bCs/>
              </w:rPr>
              <w:t>) of user(s)</w:t>
            </w:r>
          </w:p>
        </w:tc>
        <w:tc>
          <w:tcPr>
            <w:tcW w:w="6317" w:type="dxa"/>
            <w:tcBorders>
              <w:bottom w:val="single" w:sz="4" w:space="0" w:color="000001"/>
              <w:right w:val="single" w:sz="4" w:space="0" w:color="000001"/>
            </w:tcBorders>
            <w:shd w:val="clear" w:color="auto" w:fill="auto"/>
          </w:tcPr>
          <w:p w14:paraId="7DF2684E" w14:textId="77777777" w:rsidR="00CF59EF" w:rsidRDefault="000B5D37">
            <w:pPr>
              <w:rPr>
                <w:rFonts w:cs="Arial"/>
                <w:bCs/>
              </w:rPr>
            </w:pPr>
            <w:r>
              <w:rPr>
                <w:rFonts w:cs="Arial"/>
                <w:bCs/>
              </w:rPr>
              <w:t>Industrial</w:t>
            </w:r>
          </w:p>
        </w:tc>
      </w:tr>
      <w:tr w:rsidR="00CF59EF" w14:paraId="14DDC49A" w14:textId="77777777">
        <w:tc>
          <w:tcPr>
            <w:tcW w:w="2707" w:type="dxa"/>
            <w:tcBorders>
              <w:left w:val="single" w:sz="4" w:space="0" w:color="000001"/>
              <w:bottom w:val="single" w:sz="4" w:space="0" w:color="000001"/>
              <w:right w:val="single" w:sz="4" w:space="0" w:color="000001"/>
            </w:tcBorders>
            <w:shd w:val="clear" w:color="auto" w:fill="auto"/>
            <w:tcMar>
              <w:left w:w="35" w:type="dxa"/>
            </w:tcMar>
          </w:tcPr>
          <w:p w14:paraId="0D1351F4" w14:textId="77777777" w:rsidR="00CF59EF" w:rsidRDefault="000B5D37">
            <w:pPr>
              <w:rPr>
                <w:rFonts w:cs="Arial"/>
                <w:bCs/>
                <w:lang w:val="en-US"/>
              </w:rPr>
            </w:pPr>
            <w:r>
              <w:rPr>
                <w:rFonts w:cs="Arial"/>
                <w:bCs/>
              </w:rPr>
              <w:t>Pack sizes and packaging material</w:t>
            </w:r>
          </w:p>
        </w:tc>
        <w:tc>
          <w:tcPr>
            <w:tcW w:w="6317" w:type="dxa"/>
            <w:tcBorders>
              <w:bottom w:val="single" w:sz="4" w:space="0" w:color="000001"/>
              <w:right w:val="single" w:sz="4" w:space="0" w:color="000001"/>
            </w:tcBorders>
            <w:shd w:val="clear" w:color="auto" w:fill="auto"/>
          </w:tcPr>
          <w:p w14:paraId="393BAEF2" w14:textId="77777777" w:rsidR="00CF59EF" w:rsidRDefault="000B5D37">
            <w:pPr>
              <w:rPr>
                <w:rFonts w:cs="Arial"/>
                <w:bCs/>
              </w:rPr>
            </w:pPr>
            <w:r>
              <w:rPr>
                <w:rFonts w:cs="Arial"/>
                <w:bCs/>
              </w:rPr>
              <w:t>Bags 25 kg, polyethylene</w:t>
            </w:r>
          </w:p>
          <w:p w14:paraId="41B34152" w14:textId="77777777" w:rsidR="00CF59EF" w:rsidRDefault="000B5D37">
            <w:pPr>
              <w:rPr>
                <w:rFonts w:cs="Arial"/>
                <w:bCs/>
              </w:rPr>
            </w:pPr>
            <w:r>
              <w:rPr>
                <w:rFonts w:cs="Arial"/>
                <w:bCs/>
              </w:rPr>
              <w:t xml:space="preserve">Bags </w:t>
            </w:r>
            <w:r>
              <w:t>500 kg, 650 kg, 1000 kg, polypropylene</w:t>
            </w:r>
          </w:p>
        </w:tc>
      </w:tr>
    </w:tbl>
    <w:p w14:paraId="1ACC0B4F" w14:textId="77777777" w:rsidR="00CF59EF" w:rsidRDefault="00CF59EF">
      <w:pPr>
        <w:pStyle w:val="Absatz"/>
      </w:pPr>
    </w:p>
    <w:p w14:paraId="20DA947E" w14:textId="77777777" w:rsidR="00CF59EF" w:rsidRDefault="00CF59EF">
      <w:pPr>
        <w:pStyle w:val="Absatz"/>
        <w:rPr>
          <w:lang w:val="en-US"/>
        </w:rPr>
      </w:pPr>
    </w:p>
    <w:p w14:paraId="7C7F617D" w14:textId="77777777" w:rsidR="00CF59EF" w:rsidRDefault="000B5D37" w:rsidP="00172945">
      <w:pPr>
        <w:pStyle w:val="Heading2"/>
        <w:numPr>
          <w:ilvl w:val="2"/>
          <w:numId w:val="2"/>
        </w:numPr>
        <w:ind w:left="720"/>
      </w:pPr>
      <w:bookmarkStart w:id="815" w:name="_Toc378859095"/>
      <w:bookmarkStart w:id="816" w:name="_Toc378858867"/>
      <w:bookmarkStart w:id="817" w:name="_Toc378841268"/>
      <w:bookmarkStart w:id="818" w:name="_Toc378776188"/>
      <w:bookmarkStart w:id="819" w:name="_Toc378774993"/>
      <w:bookmarkStart w:id="820" w:name="_Toc378767398"/>
      <w:bookmarkStart w:id="821" w:name="_Toc378765650"/>
      <w:bookmarkStart w:id="822" w:name="_Toc378762173"/>
      <w:bookmarkStart w:id="823" w:name="_Toc378762035"/>
      <w:bookmarkStart w:id="824" w:name="_Toc378761895"/>
      <w:bookmarkStart w:id="825" w:name="_Toc378761582"/>
      <w:bookmarkStart w:id="826" w:name="_Toc378761439"/>
      <w:bookmarkStart w:id="827" w:name="_Toc378761296"/>
      <w:bookmarkStart w:id="828" w:name="_Toc378761153"/>
      <w:bookmarkStart w:id="829" w:name="_Toc378692451"/>
      <w:bookmarkStart w:id="830" w:name="_Toc378692314"/>
      <w:bookmarkStart w:id="831" w:name="_Toc378692177"/>
      <w:bookmarkStart w:id="832" w:name="_Toc378691720"/>
      <w:bookmarkStart w:id="833" w:name="_Toc378685511"/>
      <w:bookmarkStart w:id="834" w:name="_Toc378685375"/>
      <w:bookmarkStart w:id="835" w:name="_Toc378683687"/>
      <w:bookmarkStart w:id="836" w:name="_Toc378682240"/>
      <w:bookmarkStart w:id="837" w:name="_Toc378681320"/>
      <w:bookmarkStart w:id="838" w:name="_Toc378351571"/>
      <w:bookmarkStart w:id="839" w:name="_Toc377653267"/>
      <w:bookmarkStart w:id="840" w:name="_Toc377650998"/>
      <w:bookmarkStart w:id="841" w:name="_Toc377650871"/>
      <w:bookmarkStart w:id="842" w:name="_Toc377649018"/>
      <w:bookmarkStart w:id="843" w:name="_Toc378859094"/>
      <w:bookmarkStart w:id="844" w:name="_Toc378858866"/>
      <w:bookmarkStart w:id="845" w:name="_Toc378841267"/>
      <w:bookmarkStart w:id="846" w:name="_Toc378776187"/>
      <w:bookmarkStart w:id="847" w:name="_Toc378774992"/>
      <w:bookmarkStart w:id="848" w:name="_Toc378767397"/>
      <w:bookmarkStart w:id="849" w:name="_Toc378765649"/>
      <w:bookmarkStart w:id="850" w:name="_Toc378762172"/>
      <w:bookmarkStart w:id="851" w:name="_Toc378762034"/>
      <w:bookmarkStart w:id="852" w:name="_Toc378761894"/>
      <w:bookmarkStart w:id="853" w:name="_Toc378761581"/>
      <w:bookmarkStart w:id="854" w:name="_Toc378761438"/>
      <w:bookmarkStart w:id="855" w:name="_Toc378761295"/>
      <w:bookmarkStart w:id="856" w:name="_Toc378761152"/>
      <w:bookmarkStart w:id="857" w:name="_Toc378692450"/>
      <w:bookmarkStart w:id="858" w:name="_Toc378692313"/>
      <w:bookmarkStart w:id="859" w:name="_Toc378692176"/>
      <w:bookmarkStart w:id="860" w:name="_Toc378691719"/>
      <w:bookmarkStart w:id="861" w:name="_Toc378685510"/>
      <w:bookmarkStart w:id="862" w:name="_Toc378685374"/>
      <w:bookmarkStart w:id="863" w:name="_Toc378683686"/>
      <w:bookmarkStart w:id="864" w:name="_Toc378682239"/>
      <w:bookmarkStart w:id="865" w:name="_Toc378681319"/>
      <w:bookmarkStart w:id="866" w:name="_Toc378351570"/>
      <w:bookmarkStart w:id="867" w:name="_Toc377653266"/>
      <w:bookmarkStart w:id="868" w:name="_Toc377650997"/>
      <w:bookmarkStart w:id="869" w:name="_Toc377650870"/>
      <w:bookmarkStart w:id="870" w:name="_Toc377649017"/>
      <w:bookmarkStart w:id="871" w:name="_Toc378859093"/>
      <w:bookmarkStart w:id="872" w:name="_Toc378858865"/>
      <w:bookmarkStart w:id="873" w:name="_Toc378841266"/>
      <w:bookmarkStart w:id="874" w:name="_Toc378776186"/>
      <w:bookmarkStart w:id="875" w:name="_Toc378774991"/>
      <w:bookmarkStart w:id="876" w:name="_Toc378767396"/>
      <w:bookmarkStart w:id="877" w:name="_Toc378765648"/>
      <w:bookmarkStart w:id="878" w:name="_Toc378762171"/>
      <w:bookmarkStart w:id="879" w:name="_Toc378762033"/>
      <w:bookmarkStart w:id="880" w:name="_Toc378761893"/>
      <w:bookmarkStart w:id="881" w:name="_Toc378761580"/>
      <w:bookmarkStart w:id="882" w:name="_Toc378761437"/>
      <w:bookmarkStart w:id="883" w:name="_Toc378761294"/>
      <w:bookmarkStart w:id="884" w:name="_Toc378761151"/>
      <w:bookmarkStart w:id="885" w:name="_Toc378692449"/>
      <w:bookmarkStart w:id="886" w:name="_Toc378692312"/>
      <w:bookmarkStart w:id="887" w:name="_Toc378692175"/>
      <w:bookmarkStart w:id="888" w:name="_Toc378691718"/>
      <w:bookmarkStart w:id="889" w:name="_Toc378685509"/>
      <w:bookmarkStart w:id="890" w:name="_Toc378685373"/>
      <w:bookmarkStart w:id="891" w:name="_Toc378683685"/>
      <w:bookmarkStart w:id="892" w:name="_Toc378682238"/>
      <w:bookmarkStart w:id="893" w:name="_Toc378681318"/>
      <w:bookmarkStart w:id="894" w:name="_Toc378351569"/>
      <w:bookmarkStart w:id="895" w:name="_Toc377653265"/>
      <w:bookmarkStart w:id="896" w:name="_Toc377650996"/>
      <w:bookmarkStart w:id="897" w:name="_Toc377650869"/>
      <w:bookmarkStart w:id="898" w:name="_Toc377649016"/>
      <w:bookmarkStart w:id="899" w:name="_Toc388633700"/>
      <w:bookmarkStart w:id="900" w:name="_Toc388625299"/>
      <w:bookmarkStart w:id="901" w:name="_Toc388625045"/>
      <w:bookmarkStart w:id="902" w:name="_Toc388610011"/>
      <w:bookmarkStart w:id="903" w:name="_Toc388374308"/>
      <w:bookmarkStart w:id="904" w:name="_Toc388285274"/>
      <w:bookmarkStart w:id="905" w:name="_Toc388282958"/>
      <w:bookmarkStart w:id="906" w:name="_Toc388282510"/>
      <w:bookmarkStart w:id="907" w:name="_Toc388282028"/>
      <w:bookmarkStart w:id="908" w:name="_Toc388281572"/>
      <w:bookmarkStart w:id="909" w:name="_Toc389807906"/>
      <w:bookmarkStart w:id="910" w:name="_Toc389807540"/>
      <w:bookmarkStart w:id="911" w:name="_Toc389807284"/>
      <w:bookmarkStart w:id="912" w:name="_Toc389750102"/>
      <w:bookmarkStart w:id="913" w:name="_Toc389748687"/>
      <w:bookmarkStart w:id="914" w:name="_Toc389729021"/>
      <w:bookmarkStart w:id="915" w:name="_Toc389728663"/>
      <w:bookmarkStart w:id="916" w:name="_Toc389728303"/>
      <w:bookmarkStart w:id="917" w:name="_Toc389727944"/>
      <w:bookmarkStart w:id="918" w:name="_Toc389727585"/>
      <w:bookmarkStart w:id="919" w:name="_Toc389727227"/>
      <w:bookmarkStart w:id="920" w:name="_Toc389726175"/>
      <w:bookmarkStart w:id="921" w:name="_Toc389725183"/>
      <w:bookmarkStart w:id="922" w:name="_Toc388633694"/>
      <w:bookmarkStart w:id="923" w:name="_Toc388625293"/>
      <w:bookmarkStart w:id="924" w:name="_Toc388625039"/>
      <w:bookmarkStart w:id="925" w:name="_Toc388610005"/>
      <w:bookmarkStart w:id="926" w:name="_Toc388374302"/>
      <w:bookmarkStart w:id="927" w:name="_Toc388285267"/>
      <w:bookmarkStart w:id="928" w:name="_Toc388282951"/>
      <w:bookmarkStart w:id="929" w:name="_Toc388282503"/>
      <w:bookmarkStart w:id="930" w:name="_Toc388282021"/>
      <w:bookmarkStart w:id="931" w:name="_Toc388281565"/>
      <w:bookmarkStart w:id="932" w:name="_Toc389729013"/>
      <w:bookmarkStart w:id="933" w:name="_Toc389728655"/>
      <w:bookmarkStart w:id="934" w:name="_Toc389728295"/>
      <w:bookmarkStart w:id="935" w:name="_Toc389727936"/>
      <w:bookmarkStart w:id="936" w:name="_Toc389727577"/>
      <w:bookmarkStart w:id="937" w:name="_Toc389727219"/>
      <w:bookmarkStart w:id="938" w:name="_Toc389726167"/>
      <w:bookmarkStart w:id="939" w:name="_Toc388285259"/>
      <w:bookmarkStart w:id="940" w:name="_Toc388282943"/>
      <w:bookmarkStart w:id="941" w:name="_Toc388282495"/>
      <w:bookmarkStart w:id="942" w:name="_Toc388282013"/>
      <w:bookmarkStart w:id="943" w:name="_Toc388281557"/>
      <w:bookmarkStart w:id="944" w:name="_Toc389807898"/>
      <w:bookmarkStart w:id="945" w:name="_Toc389807532"/>
      <w:bookmarkStart w:id="946" w:name="_Toc389807276"/>
      <w:bookmarkStart w:id="947" w:name="_Toc389750094"/>
      <w:bookmarkStart w:id="948" w:name="_Toc389748679"/>
      <w:bookmarkStart w:id="949" w:name="_Toc389729012"/>
      <w:bookmarkStart w:id="950" w:name="_Toc389728654"/>
      <w:bookmarkStart w:id="951" w:name="_Toc389728294"/>
      <w:bookmarkStart w:id="952" w:name="_Toc389727935"/>
      <w:bookmarkStart w:id="953" w:name="_Toc389727576"/>
      <w:bookmarkStart w:id="954" w:name="_Toc389727218"/>
      <w:bookmarkStart w:id="955" w:name="_Toc389726166"/>
      <w:bookmarkStart w:id="956" w:name="_Toc389725175"/>
      <w:bookmarkStart w:id="957" w:name="_Toc388633686"/>
      <w:bookmarkStart w:id="958" w:name="_Toc388625285"/>
      <w:bookmarkStart w:id="959" w:name="_Toc388625031"/>
      <w:bookmarkStart w:id="960" w:name="_Toc388609997"/>
      <w:bookmarkStart w:id="961" w:name="_Toc388374294"/>
      <w:bookmarkStart w:id="962" w:name="_Toc388285258"/>
      <w:bookmarkStart w:id="963" w:name="_Toc388282942"/>
      <w:bookmarkStart w:id="964" w:name="_Toc388282494"/>
      <w:bookmarkStart w:id="965" w:name="_Toc388282012"/>
      <w:bookmarkStart w:id="966" w:name="_Toc388281556"/>
      <w:bookmarkStart w:id="967" w:name="_Toc389807897"/>
      <w:bookmarkStart w:id="968" w:name="_Toc389807531"/>
      <w:bookmarkStart w:id="969" w:name="_Toc389807275"/>
      <w:bookmarkStart w:id="970" w:name="_Toc389750093"/>
      <w:bookmarkStart w:id="971" w:name="_Toc389748678"/>
      <w:bookmarkStart w:id="972" w:name="_Toc389729011"/>
      <w:bookmarkStart w:id="973" w:name="_Toc389728653"/>
      <w:bookmarkStart w:id="974" w:name="_Toc389728293"/>
      <w:bookmarkStart w:id="975" w:name="_Toc389727934"/>
      <w:bookmarkStart w:id="976" w:name="_Toc389727575"/>
      <w:bookmarkStart w:id="977" w:name="_Toc389727217"/>
      <w:bookmarkStart w:id="978" w:name="_Toc389726165"/>
      <w:bookmarkStart w:id="979" w:name="_Toc389725174"/>
      <w:bookmarkStart w:id="980" w:name="_Toc388633685"/>
      <w:bookmarkStart w:id="981" w:name="_Toc388625284"/>
      <w:bookmarkStart w:id="982" w:name="_Toc388625030"/>
      <w:bookmarkStart w:id="983" w:name="_Toc388609996"/>
      <w:bookmarkStart w:id="984" w:name="_Toc388374293"/>
      <w:bookmarkStart w:id="985" w:name="_Toc388285257"/>
      <w:bookmarkStart w:id="986" w:name="_Toc388282941"/>
      <w:bookmarkStart w:id="987" w:name="_Toc388282493"/>
      <w:bookmarkStart w:id="988" w:name="_Toc388282011"/>
      <w:bookmarkStart w:id="989" w:name="_Toc388281555"/>
      <w:bookmarkStart w:id="990" w:name="_Toc389807891"/>
      <w:bookmarkStart w:id="991" w:name="_Toc389807525"/>
      <w:bookmarkStart w:id="992" w:name="_Toc389807269"/>
      <w:bookmarkStart w:id="993" w:name="_Toc389750087"/>
      <w:bookmarkStart w:id="994" w:name="_Toc389748672"/>
      <w:bookmarkStart w:id="995" w:name="_Toc389729004"/>
      <w:bookmarkStart w:id="996" w:name="_Toc389728646"/>
      <w:bookmarkStart w:id="997" w:name="_Toc389728286"/>
      <w:bookmarkStart w:id="998" w:name="_Toc389727927"/>
      <w:bookmarkStart w:id="999" w:name="_Toc389727568"/>
      <w:bookmarkStart w:id="1000" w:name="_Toc389727210"/>
      <w:bookmarkStart w:id="1001" w:name="_Toc389726158"/>
      <w:bookmarkStart w:id="1002" w:name="_Toc389725168"/>
      <w:bookmarkStart w:id="1003" w:name="_Toc388633679"/>
      <w:bookmarkStart w:id="1004" w:name="_Toc388625278"/>
      <w:bookmarkStart w:id="1005" w:name="_Toc388625024"/>
      <w:bookmarkStart w:id="1006" w:name="_Toc388609990"/>
      <w:bookmarkStart w:id="1007" w:name="_Toc388374287"/>
      <w:bookmarkStart w:id="1008" w:name="_Toc388285250"/>
      <w:bookmarkStart w:id="1009" w:name="_Toc388282934"/>
      <w:bookmarkStart w:id="1010" w:name="_Toc388282486"/>
      <w:bookmarkStart w:id="1011" w:name="_Toc388282004"/>
      <w:bookmarkStart w:id="1012" w:name="_Toc388281548"/>
      <w:bookmarkStart w:id="1013" w:name="_Toc389728992"/>
      <w:bookmarkStart w:id="1014" w:name="_Toc389728634"/>
      <w:bookmarkStart w:id="1015" w:name="_Toc389728274"/>
      <w:bookmarkStart w:id="1016" w:name="_Toc389727915"/>
      <w:bookmarkStart w:id="1017" w:name="_Toc389727556"/>
      <w:bookmarkStart w:id="1018" w:name="_Toc389727198"/>
      <w:bookmarkStart w:id="1019" w:name="_Toc389726146"/>
      <w:bookmarkStart w:id="1020" w:name="_Toc388285238"/>
      <w:bookmarkStart w:id="1021" w:name="_Toc388282922"/>
      <w:bookmarkStart w:id="1022" w:name="_Toc388282474"/>
      <w:bookmarkStart w:id="1023" w:name="_Toc388281992"/>
      <w:bookmarkStart w:id="1024" w:name="_Toc388281536"/>
      <w:bookmarkStart w:id="1025" w:name="_Toc389807880"/>
      <w:bookmarkStart w:id="1026" w:name="_Toc389807514"/>
      <w:bookmarkStart w:id="1027" w:name="_Toc389807258"/>
      <w:bookmarkStart w:id="1028" w:name="_Toc389750076"/>
      <w:bookmarkStart w:id="1029" w:name="_Toc389748661"/>
      <w:bookmarkStart w:id="1030" w:name="_Toc389728991"/>
      <w:bookmarkStart w:id="1031" w:name="_Toc389728633"/>
      <w:bookmarkStart w:id="1032" w:name="_Toc389728273"/>
      <w:bookmarkStart w:id="1033" w:name="_Toc389727914"/>
      <w:bookmarkStart w:id="1034" w:name="_Toc389727555"/>
      <w:bookmarkStart w:id="1035" w:name="_Toc389727197"/>
      <w:bookmarkStart w:id="1036" w:name="_Toc389726145"/>
      <w:bookmarkStart w:id="1037" w:name="_Toc389725157"/>
      <w:bookmarkStart w:id="1038" w:name="_Toc388633668"/>
      <w:bookmarkStart w:id="1039" w:name="_Toc388625267"/>
      <w:bookmarkStart w:id="1040" w:name="_Toc388625013"/>
      <w:bookmarkStart w:id="1041" w:name="_Toc388609979"/>
      <w:bookmarkStart w:id="1042" w:name="_Toc388374276"/>
      <w:bookmarkStart w:id="1043" w:name="_Toc388285237"/>
      <w:bookmarkStart w:id="1044" w:name="_Toc388282921"/>
      <w:bookmarkStart w:id="1045" w:name="_Toc388282473"/>
      <w:bookmarkStart w:id="1046" w:name="_Toc388281991"/>
      <w:bookmarkStart w:id="1047" w:name="_Toc388281535"/>
      <w:bookmarkStart w:id="1048" w:name="_Toc389807879"/>
      <w:bookmarkStart w:id="1049" w:name="_Toc389807513"/>
      <w:bookmarkStart w:id="1050" w:name="_Toc389807257"/>
      <w:bookmarkStart w:id="1051" w:name="_Toc389750075"/>
      <w:bookmarkStart w:id="1052" w:name="_Toc389748660"/>
      <w:bookmarkStart w:id="1053" w:name="_Toc389728990"/>
      <w:bookmarkStart w:id="1054" w:name="_Toc389728632"/>
      <w:bookmarkStart w:id="1055" w:name="_Toc389728272"/>
      <w:bookmarkStart w:id="1056" w:name="_Toc389727913"/>
      <w:bookmarkStart w:id="1057" w:name="_Toc389727554"/>
      <w:bookmarkStart w:id="1058" w:name="_Toc389727196"/>
      <w:bookmarkStart w:id="1059" w:name="_Toc389726144"/>
      <w:bookmarkStart w:id="1060" w:name="_Toc389725156"/>
      <w:bookmarkStart w:id="1061" w:name="_Toc388633667"/>
      <w:bookmarkStart w:id="1062" w:name="_Toc388625266"/>
      <w:bookmarkStart w:id="1063" w:name="_Toc388625012"/>
      <w:bookmarkStart w:id="1064" w:name="_Toc388609978"/>
      <w:bookmarkStart w:id="1065" w:name="_Toc388374275"/>
      <w:bookmarkStart w:id="1066" w:name="_Toc388285236"/>
      <w:bookmarkStart w:id="1067" w:name="_Toc388282920"/>
      <w:bookmarkStart w:id="1068" w:name="_Toc388282472"/>
      <w:bookmarkStart w:id="1069" w:name="_Toc388281990"/>
      <w:bookmarkStart w:id="1070" w:name="_Toc388281534"/>
      <w:bookmarkStart w:id="1071" w:name="_Toc389807871"/>
      <w:bookmarkStart w:id="1072" w:name="_Toc389807505"/>
      <w:bookmarkStart w:id="1073" w:name="_Toc389807249"/>
      <w:bookmarkStart w:id="1074" w:name="_Toc389750067"/>
      <w:bookmarkStart w:id="1075" w:name="_Toc389748652"/>
      <w:bookmarkStart w:id="1076" w:name="_Toc389728981"/>
      <w:bookmarkStart w:id="1077" w:name="_Toc389728623"/>
      <w:bookmarkStart w:id="1078" w:name="_Toc389728263"/>
      <w:bookmarkStart w:id="1079" w:name="_Toc389727904"/>
      <w:bookmarkStart w:id="1080" w:name="_Toc389727545"/>
      <w:bookmarkStart w:id="1081" w:name="_Toc389727187"/>
      <w:bookmarkStart w:id="1082" w:name="_Toc389726135"/>
      <w:bookmarkStart w:id="1083" w:name="_Toc389725148"/>
      <w:bookmarkStart w:id="1084" w:name="_Toc388633659"/>
      <w:bookmarkStart w:id="1085" w:name="_Toc388625258"/>
      <w:bookmarkStart w:id="1086" w:name="_Toc388625004"/>
      <w:bookmarkStart w:id="1087" w:name="_Toc388609970"/>
      <w:bookmarkStart w:id="1088" w:name="_Toc388374267"/>
      <w:bookmarkStart w:id="1089" w:name="_Toc388285227"/>
      <w:bookmarkStart w:id="1090" w:name="_Toc388282911"/>
      <w:bookmarkStart w:id="1091" w:name="_Toc388282463"/>
      <w:bookmarkStart w:id="1092" w:name="_Toc388281981"/>
      <w:bookmarkStart w:id="1093" w:name="_Toc388281525"/>
      <w:bookmarkStart w:id="1094" w:name="_Toc389728967"/>
      <w:bookmarkStart w:id="1095" w:name="_Toc389728609"/>
      <w:bookmarkStart w:id="1096" w:name="_Toc389728249"/>
      <w:bookmarkStart w:id="1097" w:name="_Toc389727890"/>
      <w:bookmarkStart w:id="1098" w:name="_Toc389727531"/>
      <w:bookmarkStart w:id="1099" w:name="_Toc389727173"/>
      <w:bookmarkStart w:id="1100" w:name="_Toc389726121"/>
      <w:bookmarkStart w:id="1101" w:name="_Toc388285213"/>
      <w:bookmarkStart w:id="1102" w:name="_Toc388282897"/>
      <w:bookmarkStart w:id="1103" w:name="_Toc388282449"/>
      <w:bookmarkStart w:id="1104" w:name="_Toc388281967"/>
      <w:bookmarkStart w:id="1105" w:name="_Toc388281511"/>
      <w:bookmarkStart w:id="1106" w:name="_Toc389728966"/>
      <w:bookmarkStart w:id="1107" w:name="_Toc389728608"/>
      <w:bookmarkStart w:id="1108" w:name="_Toc389728248"/>
      <w:bookmarkStart w:id="1109" w:name="_Toc389727889"/>
      <w:bookmarkStart w:id="1110" w:name="_Toc389727530"/>
      <w:bookmarkStart w:id="1111" w:name="_Toc389727172"/>
      <w:bookmarkStart w:id="1112" w:name="_Toc389726120"/>
      <w:bookmarkStart w:id="1113" w:name="_Toc388285212"/>
      <w:bookmarkStart w:id="1114" w:name="_Toc388282896"/>
      <w:bookmarkStart w:id="1115" w:name="_Toc388282448"/>
      <w:bookmarkStart w:id="1116" w:name="_Toc388281966"/>
      <w:bookmarkStart w:id="1117" w:name="_Toc388281510"/>
      <w:bookmarkStart w:id="1118" w:name="_Toc389728964"/>
      <w:bookmarkStart w:id="1119" w:name="_Toc389728606"/>
      <w:bookmarkStart w:id="1120" w:name="_Toc389728246"/>
      <w:bookmarkStart w:id="1121" w:name="_Toc389727887"/>
      <w:bookmarkStart w:id="1122" w:name="_Toc389727528"/>
      <w:bookmarkStart w:id="1123" w:name="_Toc389727170"/>
      <w:bookmarkStart w:id="1124" w:name="_Toc389726118"/>
      <w:bookmarkStart w:id="1125" w:name="_Toc388285210"/>
      <w:bookmarkStart w:id="1126" w:name="_Toc388282894"/>
      <w:bookmarkStart w:id="1127" w:name="_Toc388282446"/>
      <w:bookmarkStart w:id="1128" w:name="_Toc388281964"/>
      <w:bookmarkStart w:id="1129" w:name="_Toc388281508"/>
      <w:bookmarkStart w:id="1130" w:name="_Toc389728962"/>
      <w:bookmarkStart w:id="1131" w:name="_Toc389728604"/>
      <w:bookmarkStart w:id="1132" w:name="_Toc389728244"/>
      <w:bookmarkStart w:id="1133" w:name="_Toc389727885"/>
      <w:bookmarkStart w:id="1134" w:name="_Toc389727526"/>
      <w:bookmarkStart w:id="1135" w:name="_Toc389727168"/>
      <w:bookmarkStart w:id="1136" w:name="_Toc389726116"/>
      <w:bookmarkStart w:id="1137" w:name="_Toc388285208"/>
      <w:bookmarkStart w:id="1138" w:name="_Toc389728961"/>
      <w:bookmarkStart w:id="1139" w:name="_Toc389728603"/>
      <w:bookmarkStart w:id="1140" w:name="_Toc389728243"/>
      <w:bookmarkStart w:id="1141" w:name="_Toc389727884"/>
      <w:bookmarkStart w:id="1142" w:name="_Toc389727525"/>
      <w:bookmarkStart w:id="1143" w:name="_Toc389727167"/>
      <w:bookmarkStart w:id="1144" w:name="_Toc389726115"/>
      <w:bookmarkStart w:id="1145" w:name="_Toc388285207"/>
      <w:bookmarkStart w:id="1146" w:name="_Toc389728954"/>
      <w:bookmarkStart w:id="1147" w:name="_Toc389728596"/>
      <w:bookmarkStart w:id="1148" w:name="_Toc389728236"/>
      <w:bookmarkStart w:id="1149" w:name="_Toc389727877"/>
      <w:bookmarkStart w:id="1150" w:name="_Toc389727518"/>
      <w:bookmarkStart w:id="1151" w:name="_Toc389727160"/>
      <w:bookmarkStart w:id="1152" w:name="_Toc389726108"/>
      <w:bookmarkStart w:id="1153" w:name="_Toc388285200"/>
      <w:bookmarkStart w:id="1154" w:name="_Toc389728947"/>
      <w:bookmarkStart w:id="1155" w:name="_Toc389728589"/>
      <w:bookmarkStart w:id="1156" w:name="_Toc389728229"/>
      <w:bookmarkStart w:id="1157" w:name="_Toc389727870"/>
      <w:bookmarkStart w:id="1158" w:name="_Toc389727511"/>
      <w:bookmarkStart w:id="1159" w:name="_Toc389727153"/>
      <w:bookmarkStart w:id="1160" w:name="_Toc389726101"/>
      <w:bookmarkStart w:id="1161" w:name="_Toc388285193"/>
      <w:bookmarkStart w:id="1162" w:name="_Toc389728940"/>
      <w:bookmarkStart w:id="1163" w:name="_Toc389728582"/>
      <w:bookmarkStart w:id="1164" w:name="_Toc389728222"/>
      <w:bookmarkStart w:id="1165" w:name="_Toc389727863"/>
      <w:bookmarkStart w:id="1166" w:name="_Toc389727504"/>
      <w:bookmarkStart w:id="1167" w:name="_Toc389727146"/>
      <w:bookmarkStart w:id="1168" w:name="_Toc389726094"/>
      <w:bookmarkStart w:id="1169" w:name="_Toc388285186"/>
      <w:bookmarkStart w:id="1170" w:name="_Toc389728933"/>
      <w:bookmarkStart w:id="1171" w:name="_Toc389728575"/>
      <w:bookmarkStart w:id="1172" w:name="_Toc389728215"/>
      <w:bookmarkStart w:id="1173" w:name="_Toc389727856"/>
      <w:bookmarkStart w:id="1174" w:name="_Toc389727497"/>
      <w:bookmarkStart w:id="1175" w:name="_Toc389727139"/>
      <w:bookmarkStart w:id="1176" w:name="_Toc389726087"/>
      <w:bookmarkStart w:id="1177" w:name="_Toc388285179"/>
      <w:bookmarkStart w:id="1178" w:name="_Toc389728925"/>
      <w:bookmarkStart w:id="1179" w:name="_Toc389728567"/>
      <w:bookmarkStart w:id="1180" w:name="_Toc389728207"/>
      <w:bookmarkStart w:id="1181" w:name="_Toc389727848"/>
      <w:bookmarkStart w:id="1182" w:name="_Toc389727489"/>
      <w:bookmarkStart w:id="1183" w:name="_Toc389727131"/>
      <w:bookmarkStart w:id="1184" w:name="_Toc389726079"/>
      <w:bookmarkStart w:id="1185" w:name="_Toc388285171"/>
      <w:bookmarkStart w:id="1186" w:name="_Toc389728924"/>
      <w:bookmarkStart w:id="1187" w:name="_Toc389728566"/>
      <w:bookmarkStart w:id="1188" w:name="_Toc389728206"/>
      <w:bookmarkStart w:id="1189" w:name="_Toc389727847"/>
      <w:bookmarkStart w:id="1190" w:name="_Toc389727488"/>
      <w:bookmarkStart w:id="1191" w:name="_Toc389727130"/>
      <w:bookmarkStart w:id="1192" w:name="_Toc389726078"/>
      <w:bookmarkStart w:id="1193" w:name="_Toc388285170"/>
      <w:bookmarkStart w:id="1194" w:name="_Toc389728922"/>
      <w:bookmarkStart w:id="1195" w:name="_Toc389728564"/>
      <w:bookmarkStart w:id="1196" w:name="_Toc389728204"/>
      <w:bookmarkStart w:id="1197" w:name="_Toc389727845"/>
      <w:bookmarkStart w:id="1198" w:name="_Toc389727486"/>
      <w:bookmarkStart w:id="1199" w:name="_Toc389727128"/>
      <w:bookmarkStart w:id="1200" w:name="_Toc389726076"/>
      <w:bookmarkStart w:id="1201" w:name="_Toc388285168"/>
      <w:bookmarkStart w:id="1202" w:name="_Toc389728921"/>
      <w:bookmarkStart w:id="1203" w:name="_Toc389728563"/>
      <w:bookmarkStart w:id="1204" w:name="_Toc389728203"/>
      <w:bookmarkStart w:id="1205" w:name="_Toc389727844"/>
      <w:bookmarkStart w:id="1206" w:name="_Toc389727485"/>
      <w:bookmarkStart w:id="1207" w:name="_Toc389727127"/>
      <w:bookmarkStart w:id="1208" w:name="_Toc389726075"/>
      <w:bookmarkStart w:id="1209" w:name="_Toc388285167"/>
      <w:bookmarkStart w:id="1210" w:name="_Toc389728919"/>
      <w:bookmarkStart w:id="1211" w:name="_Toc389728561"/>
      <w:bookmarkStart w:id="1212" w:name="_Toc389728201"/>
      <w:bookmarkStart w:id="1213" w:name="_Toc389727842"/>
      <w:bookmarkStart w:id="1214" w:name="_Toc389727483"/>
      <w:bookmarkStart w:id="1215" w:name="_Toc389727125"/>
      <w:bookmarkStart w:id="1216" w:name="_Toc389726073"/>
      <w:bookmarkStart w:id="1217" w:name="_Toc388285165"/>
      <w:bookmarkStart w:id="1218" w:name="_Toc389728918"/>
      <w:bookmarkStart w:id="1219" w:name="_Toc389728560"/>
      <w:bookmarkStart w:id="1220" w:name="_Toc389728200"/>
      <w:bookmarkStart w:id="1221" w:name="_Toc389727841"/>
      <w:bookmarkStart w:id="1222" w:name="_Toc389727482"/>
      <w:bookmarkStart w:id="1223" w:name="_Toc389727124"/>
      <w:bookmarkStart w:id="1224" w:name="_Toc389726072"/>
      <w:bookmarkStart w:id="1225" w:name="_Toc388285164"/>
      <w:bookmarkStart w:id="1226" w:name="_Toc389728916"/>
      <w:bookmarkStart w:id="1227" w:name="_Toc389728558"/>
      <w:bookmarkStart w:id="1228" w:name="_Toc389728198"/>
      <w:bookmarkStart w:id="1229" w:name="_Toc389727839"/>
      <w:bookmarkStart w:id="1230" w:name="_Toc389727480"/>
      <w:bookmarkStart w:id="1231" w:name="_Toc389727122"/>
      <w:bookmarkStart w:id="1232" w:name="_Toc389726070"/>
      <w:bookmarkStart w:id="1233" w:name="_Toc388285162"/>
      <w:bookmarkStart w:id="1234" w:name="_Toc389807859"/>
      <w:bookmarkStart w:id="1235" w:name="_Toc389807493"/>
      <w:bookmarkStart w:id="1236" w:name="_Toc389807237"/>
      <w:bookmarkStart w:id="1237" w:name="_Toc389750055"/>
      <w:bookmarkStart w:id="1238" w:name="_Toc389748640"/>
      <w:bookmarkStart w:id="1239" w:name="_Toc389728915"/>
      <w:bookmarkStart w:id="1240" w:name="_Toc389728557"/>
      <w:bookmarkStart w:id="1241" w:name="_Toc389728197"/>
      <w:bookmarkStart w:id="1242" w:name="_Toc389727838"/>
      <w:bookmarkStart w:id="1243" w:name="_Toc389727479"/>
      <w:bookmarkStart w:id="1244" w:name="_Toc389727121"/>
      <w:bookmarkStart w:id="1245" w:name="_Toc389726069"/>
      <w:bookmarkStart w:id="1246" w:name="_Toc389725133"/>
      <w:bookmarkStart w:id="1247" w:name="_Toc388633644"/>
      <w:bookmarkStart w:id="1248" w:name="_Toc388625243"/>
      <w:bookmarkStart w:id="1249" w:name="_Toc388624989"/>
      <w:bookmarkStart w:id="1250" w:name="_Toc388609955"/>
      <w:bookmarkStart w:id="1251" w:name="_Toc388374252"/>
      <w:bookmarkStart w:id="1252" w:name="_Toc388285161"/>
      <w:bookmarkStart w:id="1253" w:name="_Toc389728914"/>
      <w:bookmarkStart w:id="1254" w:name="_Toc389728556"/>
      <w:bookmarkStart w:id="1255" w:name="_Toc389728196"/>
      <w:bookmarkStart w:id="1256" w:name="_Toc389727837"/>
      <w:bookmarkStart w:id="1257" w:name="_Toc389727478"/>
      <w:bookmarkStart w:id="1258" w:name="_Toc389727120"/>
      <w:bookmarkStart w:id="1259" w:name="_Toc389726068"/>
      <w:bookmarkStart w:id="1260" w:name="_Toc388285160"/>
      <w:bookmarkStart w:id="1261" w:name="_Toc389807857"/>
      <w:bookmarkStart w:id="1262" w:name="_Toc389807491"/>
      <w:bookmarkStart w:id="1263" w:name="_Toc389807235"/>
      <w:bookmarkStart w:id="1264" w:name="_Toc389750053"/>
      <w:bookmarkStart w:id="1265" w:name="_Toc389748638"/>
      <w:bookmarkStart w:id="1266" w:name="_Toc389728913"/>
      <w:bookmarkStart w:id="1267" w:name="_Toc389728555"/>
      <w:bookmarkStart w:id="1268" w:name="_Toc389728195"/>
      <w:bookmarkStart w:id="1269" w:name="_Toc389727836"/>
      <w:bookmarkStart w:id="1270" w:name="_Toc389727477"/>
      <w:bookmarkStart w:id="1271" w:name="_Toc389727119"/>
      <w:bookmarkStart w:id="1272" w:name="_Toc389726067"/>
      <w:bookmarkStart w:id="1273" w:name="_Toc389725131"/>
      <w:bookmarkStart w:id="1274" w:name="_Toc388633642"/>
      <w:bookmarkStart w:id="1275" w:name="_Toc388625241"/>
      <w:bookmarkStart w:id="1276" w:name="_Toc388624987"/>
      <w:bookmarkStart w:id="1277" w:name="_Toc388609953"/>
      <w:bookmarkStart w:id="1278" w:name="_Toc388374250"/>
      <w:bookmarkStart w:id="1279" w:name="_Toc388285159"/>
      <w:bookmarkStart w:id="1280" w:name="_Toc387245157"/>
      <w:bookmarkStart w:id="1281" w:name="_Toc403472740"/>
      <w:bookmarkStart w:id="1282" w:name="_Toc389729028"/>
      <w:bookmarkStart w:id="1283" w:name="_Toc53186865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t>Physical, chemical and technical properties</w:t>
      </w:r>
      <w:bookmarkEnd w:id="1281"/>
      <w:bookmarkEnd w:id="1282"/>
      <w:bookmarkEnd w:id="1283"/>
      <w:r>
        <w:t xml:space="preserve"> </w:t>
      </w:r>
    </w:p>
    <w:p w14:paraId="3DCBEFB2" w14:textId="77777777" w:rsidR="00CF59EF" w:rsidRDefault="000B5D37">
      <w:pPr>
        <w:rPr>
          <w:rFonts w:cs="Arial"/>
          <w:bCs/>
        </w:rPr>
      </w:pPr>
      <w:r>
        <w:rPr>
          <w:rFonts w:cs="Arial"/>
          <w:bCs/>
        </w:rPr>
        <w:t>Although the substance is included in Annex I of the Regulation (EU) 528/2012, a simplified procedure is not possible. Therefore, a full evaluation of the physical and chemical properties of the product is performed.</w:t>
      </w:r>
    </w:p>
    <w:tbl>
      <w:tblPr>
        <w:tblW w:w="9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14"/>
        <w:gridCol w:w="1545"/>
        <w:gridCol w:w="1278"/>
        <w:gridCol w:w="1806"/>
        <w:gridCol w:w="1272"/>
      </w:tblGrid>
      <w:tr w:rsidR="00224331" w14:paraId="7DA98D32" w14:textId="77777777" w:rsidTr="004C122A">
        <w:trPr>
          <w:tblHeader/>
        </w:trPr>
        <w:tc>
          <w:tcPr>
            <w:tcW w:w="3514"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53B76019" w14:textId="77777777" w:rsidR="00CF59EF" w:rsidRDefault="000B5D37">
            <w:pPr>
              <w:spacing w:line="260" w:lineRule="atLeast"/>
              <w:rPr>
                <w:rFonts w:eastAsia="Calibri"/>
                <w:b/>
                <w:lang w:eastAsia="en-US"/>
              </w:rPr>
            </w:pPr>
            <w:r>
              <w:rPr>
                <w:rFonts w:eastAsia="Calibri"/>
                <w:b/>
                <w:lang w:eastAsia="en-US"/>
              </w:rPr>
              <w:t>Property</w:t>
            </w:r>
          </w:p>
        </w:tc>
        <w:tc>
          <w:tcPr>
            <w:tcW w:w="1545"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3CEE7028" w14:textId="77777777" w:rsidR="00CF59EF" w:rsidRDefault="000B5D37">
            <w:pPr>
              <w:spacing w:line="260" w:lineRule="atLeast"/>
              <w:rPr>
                <w:rFonts w:eastAsia="Calibri"/>
                <w:b/>
                <w:lang w:eastAsia="en-US"/>
              </w:rPr>
            </w:pPr>
            <w:r>
              <w:rPr>
                <w:rFonts w:eastAsia="Calibri"/>
                <w:b/>
                <w:lang w:eastAsia="en-US"/>
              </w:rPr>
              <w:t>Guideline  and Method</w:t>
            </w:r>
          </w:p>
        </w:tc>
        <w:tc>
          <w:tcPr>
            <w:tcW w:w="1278"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2251768A" w14:textId="77777777" w:rsidR="00CF59EF" w:rsidRDefault="000B5D37">
            <w:pPr>
              <w:spacing w:line="260" w:lineRule="atLeast"/>
              <w:rPr>
                <w:rFonts w:eastAsia="Calibri"/>
                <w:b/>
                <w:lang w:eastAsia="en-US"/>
              </w:rPr>
            </w:pPr>
            <w:r>
              <w:rPr>
                <w:rFonts w:eastAsia="Calibri"/>
                <w:b/>
                <w:lang w:eastAsia="en-US"/>
              </w:rPr>
              <w:t>Purity of the test substance (% (w/w)</w:t>
            </w:r>
          </w:p>
        </w:tc>
        <w:tc>
          <w:tcPr>
            <w:tcW w:w="1806"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2A3D54F7" w14:textId="77777777" w:rsidR="00CF59EF" w:rsidRDefault="000B5D37">
            <w:pPr>
              <w:spacing w:line="260" w:lineRule="atLeast"/>
              <w:rPr>
                <w:rFonts w:eastAsia="Calibri"/>
                <w:b/>
                <w:lang w:eastAsia="en-US"/>
              </w:rPr>
            </w:pPr>
            <w:r>
              <w:rPr>
                <w:rFonts w:eastAsia="Calibri"/>
                <w:b/>
                <w:lang w:eastAsia="en-US"/>
              </w:rPr>
              <w:t>Results</w:t>
            </w:r>
          </w:p>
        </w:tc>
        <w:tc>
          <w:tcPr>
            <w:tcW w:w="127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0DF1507D" w14:textId="77777777" w:rsidR="00CF59EF" w:rsidRDefault="000B5D37">
            <w:pPr>
              <w:spacing w:line="260" w:lineRule="atLeast"/>
              <w:rPr>
                <w:rFonts w:eastAsia="Calibri"/>
                <w:b/>
                <w:lang w:eastAsia="en-US"/>
              </w:rPr>
            </w:pPr>
            <w:r>
              <w:rPr>
                <w:rFonts w:eastAsia="Calibri"/>
                <w:b/>
                <w:lang w:eastAsia="en-US"/>
              </w:rPr>
              <w:t>Reference</w:t>
            </w:r>
          </w:p>
        </w:tc>
      </w:tr>
      <w:tr w:rsidR="00224331" w14:paraId="422F9506"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AA36F" w14:textId="77777777" w:rsidR="00CF59EF" w:rsidRDefault="000B5D37">
            <w:pPr>
              <w:rPr>
                <w:rFonts w:eastAsia="Calibri"/>
              </w:rPr>
            </w:pPr>
            <w:r>
              <w:rPr>
                <w:rFonts w:eastAsia="Calibri"/>
              </w:rPr>
              <w:t>Physical state at 20 °C and 101.3 kPa</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7CC54D" w14:textId="77777777" w:rsidR="00CF59EF" w:rsidRDefault="000B5D37">
            <w:pPr>
              <w:rPr>
                <w:rFonts w:eastAsia="Calibri"/>
              </w:rPr>
            </w:pPr>
            <w:r>
              <w:rPr>
                <w:rFonts w:eastAsia="Calibri"/>
              </w:rPr>
              <w:t>Not indicated</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A9C4B5" w14:textId="77777777" w:rsidR="00CF59EF" w:rsidRDefault="000B5D37">
            <w:pPr>
              <w:rPr>
                <w:rFonts w:eastAsia="Calibri"/>
              </w:rPr>
            </w:pPr>
            <w:r>
              <w:rPr>
                <w:rFonts w:eastAsia="Calibri"/>
              </w:rPr>
              <w:t>Not indicated;  treated as 100% pure in the study.</w:t>
            </w:r>
          </w:p>
          <w:p w14:paraId="5FEC3443" w14:textId="77777777" w:rsidR="00CF59EF" w:rsidRDefault="000B5D37">
            <w:pPr>
              <w:rPr>
                <w:rFonts w:eastAsia="Calibri"/>
              </w:rPr>
            </w:pPr>
            <w:r>
              <w:rPr>
                <w:rFonts w:eastAsia="Calibri"/>
              </w:rPr>
              <w:t>Batch 0950-1</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DC662" w14:textId="77777777" w:rsidR="00CF59EF" w:rsidRDefault="000B5D37">
            <w:pPr>
              <w:rPr>
                <w:rFonts w:eastAsia="Calibri"/>
              </w:rPr>
            </w:pPr>
            <w:r>
              <w:rPr>
                <w:rFonts w:eastAsia="Calibri"/>
              </w:rPr>
              <w:t>Solid (granules)</w:t>
            </w:r>
          </w:p>
          <w:p w14:paraId="56D0617C" w14:textId="77777777" w:rsidR="00CF59EF" w:rsidRDefault="00CF59EF">
            <w:pPr>
              <w:rPr>
                <w:rFonts w:eastAsia="Calibri"/>
                <w:lang w:val="nl-NL"/>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8C19E" w14:textId="77777777" w:rsidR="00CF59EF" w:rsidRDefault="000B5D37">
            <w:pPr>
              <w:rPr>
                <w:rFonts w:eastAsia="Calibri"/>
              </w:rPr>
            </w:pPr>
            <w:r>
              <w:rPr>
                <w:rFonts w:eastAsia="Calibri"/>
              </w:rPr>
              <w:t>Ref no.</w:t>
            </w:r>
          </w:p>
          <w:p w14:paraId="03688FA3" w14:textId="77777777" w:rsidR="00CF59EF" w:rsidRDefault="000B5D37">
            <w:pPr>
              <w:rPr>
                <w:rFonts w:eastAsia="Calibri"/>
              </w:rPr>
            </w:pPr>
            <w:r>
              <w:rPr>
                <w:rFonts w:eastAsia="Calibri"/>
              </w:rPr>
              <w:t>2.2.2-01</w:t>
            </w:r>
          </w:p>
          <w:p w14:paraId="5D5B0D65"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091DC9D7" w14:textId="77777777" w:rsidR="00CF59EF" w:rsidRDefault="00CF59EF">
            <w:pPr>
              <w:rPr>
                <w:rFonts w:eastAsia="Calibri"/>
              </w:rPr>
            </w:pPr>
          </w:p>
          <w:p w14:paraId="56D4F108" w14:textId="77777777" w:rsidR="00CF59EF" w:rsidRDefault="00CF59EF">
            <w:pPr>
              <w:rPr>
                <w:rFonts w:eastAsia="Calibri"/>
              </w:rPr>
            </w:pPr>
          </w:p>
        </w:tc>
      </w:tr>
      <w:tr w:rsidR="00224331" w14:paraId="1C9D9EAF"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74EE35" w14:textId="77777777" w:rsidR="00CF59EF" w:rsidRDefault="000B5D37">
            <w:pPr>
              <w:rPr>
                <w:rFonts w:eastAsia="Calibri"/>
              </w:rPr>
            </w:pPr>
            <w:r>
              <w:rPr>
                <w:rFonts w:eastAsia="Calibri"/>
              </w:rPr>
              <w:t>Colour at 20 °C and 101.3 kPa</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E337BA" w14:textId="77777777" w:rsidR="00CF59EF" w:rsidRDefault="000B5D37">
            <w:pPr>
              <w:rPr>
                <w:rFonts w:eastAsia="Calibri"/>
                <w:b/>
              </w:rPr>
            </w:pPr>
            <w:r>
              <w:rPr>
                <w:rFonts w:eastAsia="Calibri"/>
              </w:rPr>
              <w:t>Not indicated</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DDB78F" w14:textId="77777777" w:rsidR="00CF59EF" w:rsidRDefault="000B5D37">
            <w:pPr>
              <w:rPr>
                <w:rFonts w:eastAsia="Calibri"/>
              </w:rPr>
            </w:pPr>
            <w:r>
              <w:rPr>
                <w:rFonts w:eastAsia="Calibri"/>
              </w:rPr>
              <w:t xml:space="preserve">Not indicated; </w:t>
            </w:r>
            <w:r>
              <w:rPr>
                <w:rFonts w:eastAsia="Calibri"/>
              </w:rPr>
              <w:lastRenderedPageBreak/>
              <w:t>treated as 100% pure in the study.</w:t>
            </w:r>
          </w:p>
          <w:p w14:paraId="2DD7AC63" w14:textId="77777777" w:rsidR="00CF59EF" w:rsidRDefault="000B5D37">
            <w:pPr>
              <w:rPr>
                <w:rFonts w:eastAsia="Calibri"/>
              </w:rPr>
            </w:pPr>
            <w:r>
              <w:rPr>
                <w:rFonts w:eastAsia="Calibri"/>
              </w:rPr>
              <w:t>Batch 0950-1</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FD17B9" w14:textId="77777777" w:rsidR="00CF59EF" w:rsidRDefault="000B5D37">
            <w:pPr>
              <w:rPr>
                <w:rFonts w:eastAsia="Calibri"/>
              </w:rPr>
            </w:pPr>
            <w:r>
              <w:rPr>
                <w:rFonts w:eastAsia="Calibri"/>
              </w:rPr>
              <w:lastRenderedPageBreak/>
              <w:t>White</w:t>
            </w:r>
          </w:p>
          <w:p w14:paraId="1983F22B" w14:textId="77777777" w:rsidR="00CF59EF" w:rsidRDefault="00CF59EF">
            <w:pPr>
              <w:rPr>
                <w:rFonts w:eastAsia="Calibri"/>
              </w:rPr>
            </w:pPr>
          </w:p>
          <w:p w14:paraId="75EE2CEA" w14:textId="77777777" w:rsidR="00CF59EF" w:rsidRDefault="00CF59EF">
            <w:pPr>
              <w:rPr>
                <w:rFonts w:eastAsia="Calibri"/>
                <w:lang w:val="nl-NL"/>
              </w:rPr>
            </w:pPr>
          </w:p>
          <w:p w14:paraId="4D3E1048" w14:textId="77777777" w:rsidR="00CF59EF" w:rsidRDefault="00CF59EF">
            <w:pPr>
              <w:jc w:val="center"/>
              <w:rPr>
                <w:rFonts w:eastAsia="Calibri"/>
                <w:lang w:val="nl-NL"/>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037CFC" w14:textId="77777777" w:rsidR="00CF59EF" w:rsidRDefault="000B5D37">
            <w:pPr>
              <w:rPr>
                <w:rFonts w:eastAsia="Calibri"/>
              </w:rPr>
            </w:pPr>
            <w:r>
              <w:rPr>
                <w:rFonts w:eastAsia="Calibri"/>
              </w:rPr>
              <w:lastRenderedPageBreak/>
              <w:t>Ref no.</w:t>
            </w:r>
          </w:p>
          <w:p w14:paraId="5DDEBFCA" w14:textId="77777777" w:rsidR="00CF59EF" w:rsidRDefault="000B5D37">
            <w:pPr>
              <w:rPr>
                <w:rFonts w:eastAsia="Calibri"/>
              </w:rPr>
            </w:pPr>
            <w:r>
              <w:rPr>
                <w:rFonts w:eastAsia="Calibri"/>
              </w:rPr>
              <w:t>2.2.2-01</w:t>
            </w:r>
          </w:p>
          <w:p w14:paraId="457085F8" w14:textId="77777777" w:rsidR="00CF59EF" w:rsidRDefault="000B5D37">
            <w:pPr>
              <w:rPr>
                <w:rFonts w:eastAsia="Calibri"/>
              </w:rPr>
            </w:pPr>
            <w:r>
              <w:rPr>
                <w:rFonts w:eastAsia="Calibri"/>
              </w:rPr>
              <w:lastRenderedPageBreak/>
              <w:t>(</w:t>
            </w:r>
            <w:proofErr w:type="spellStart"/>
            <w:r w:rsidR="002F4C58" w:rsidRPr="002F4C58">
              <w:rPr>
                <w:rFonts w:eastAsia="Calibri"/>
                <w:highlight w:val="black"/>
              </w:rPr>
              <w:t>xxxxx</w:t>
            </w:r>
            <w:proofErr w:type="spellEnd"/>
            <w:r>
              <w:rPr>
                <w:rFonts w:eastAsia="Calibri"/>
              </w:rPr>
              <w:t>)</w:t>
            </w:r>
          </w:p>
          <w:p w14:paraId="08D04FEB" w14:textId="77777777" w:rsidR="00CF59EF" w:rsidRDefault="00CF59EF">
            <w:pPr>
              <w:rPr>
                <w:rFonts w:eastAsia="Calibri"/>
              </w:rPr>
            </w:pPr>
          </w:p>
          <w:p w14:paraId="3A968F29" w14:textId="77777777" w:rsidR="00CF59EF" w:rsidRDefault="00CF59EF">
            <w:pPr>
              <w:rPr>
                <w:rFonts w:eastAsia="Calibri"/>
              </w:rPr>
            </w:pPr>
          </w:p>
          <w:p w14:paraId="3CFEF8DA" w14:textId="77777777" w:rsidR="00CF59EF" w:rsidRDefault="00CF59EF">
            <w:pPr>
              <w:rPr>
                <w:rFonts w:eastAsia="Calibri"/>
              </w:rPr>
            </w:pPr>
          </w:p>
        </w:tc>
      </w:tr>
      <w:tr w:rsidR="00224331" w14:paraId="36F4F23C"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DD7118" w14:textId="77777777" w:rsidR="00CF59EF" w:rsidRDefault="000B5D37">
            <w:pPr>
              <w:rPr>
                <w:rFonts w:eastAsia="Calibri"/>
              </w:rPr>
            </w:pPr>
            <w:r>
              <w:rPr>
                <w:rFonts w:eastAsia="Calibri"/>
              </w:rPr>
              <w:lastRenderedPageBreak/>
              <w:t>Physical state at 20 °C and 101.3 kPa</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489788" w14:textId="77777777" w:rsidR="00CF59EF" w:rsidRDefault="000B5D37">
            <w:pPr>
              <w:rPr>
                <w:rFonts w:eastAsia="Calibri"/>
              </w:rPr>
            </w:pPr>
            <w:r>
              <w:rPr>
                <w:rFonts w:eastAsia="Calibri"/>
              </w:rPr>
              <w:t>EPA OPPTS 830.6303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EA393D"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76A2A44F" w14:textId="77777777" w:rsidR="00CF59EF" w:rsidRDefault="00CF59EF">
            <w:pPr>
              <w:rPr>
                <w:rFonts w:cs="TimesNewRomanPSMT"/>
                <w:lang w:val="nl-NL" w:eastAsia="en-US"/>
              </w:rPr>
            </w:pPr>
          </w:p>
          <w:p w14:paraId="58867205" w14:textId="77777777" w:rsidR="00CF59EF" w:rsidRDefault="000B5D37">
            <w:pPr>
              <w:rPr>
                <w:rFonts w:cs="TimesNewRomanPSMT"/>
                <w:lang w:val="nl-NL" w:eastAsia="en-US"/>
              </w:rPr>
            </w:pPr>
            <w:r>
              <w:rPr>
                <w:rFonts w:cs="TimesNewRomanPSMT"/>
                <w:lang w:val="nl-NL" w:eastAsia="en-US"/>
              </w:rPr>
              <w:t xml:space="preserve">Batch </w:t>
            </w:r>
          </w:p>
          <w:p w14:paraId="38D10574" w14:textId="77777777" w:rsidR="00CF59EF" w:rsidRDefault="000B5D37">
            <w:pPr>
              <w:rPr>
                <w:rFonts w:eastAsia="Calibri"/>
              </w:rPr>
            </w:pPr>
            <w:r>
              <w:rPr>
                <w:rFonts w:cs="TimesNewRomanPSMT"/>
                <w:lang w:val="nl-NL" w:eastAsia="en-US"/>
              </w:rPr>
              <w:t>1748-4</w:t>
            </w:r>
            <w:r>
              <w:rPr>
                <w:rFonts w:eastAsia="Calibri"/>
              </w:rPr>
              <w:t>&gt;99.9%</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CB1299" w14:textId="77777777" w:rsidR="00CF59EF" w:rsidRDefault="000B5D37">
            <w:pPr>
              <w:rPr>
                <w:rFonts w:eastAsia="Calibri"/>
              </w:rPr>
            </w:pPr>
            <w:r>
              <w:rPr>
                <w:rFonts w:eastAsia="Calibri"/>
              </w:rPr>
              <w:t>Solid: granular</w:t>
            </w:r>
          </w:p>
          <w:p w14:paraId="1A956129" w14:textId="77777777" w:rsidR="00CF59EF" w:rsidRDefault="00CF59EF">
            <w:pPr>
              <w:rPr>
                <w:rFonts w:eastAsia="Calibri"/>
              </w:rPr>
            </w:pPr>
          </w:p>
          <w:p w14:paraId="6FBD12BF" w14:textId="77777777" w:rsidR="00CF59EF" w:rsidRDefault="000B5D37">
            <w:pPr>
              <w:rPr>
                <w:rFonts w:eastAsia="Calibri"/>
                <w:lang w:val="en-US"/>
              </w:rPr>
            </w:pPr>
            <w:r>
              <w:rPr>
                <w:rFonts w:eastAsia="Calibri"/>
                <w:lang w:val="en-US"/>
              </w:rPr>
              <w:t>Evaluations performed at 22</w:t>
            </w:r>
            <w:r w:rsidR="00645781">
              <w:rPr>
                <w:rFonts w:eastAsia="Calibri"/>
                <w:lang w:val="en-US"/>
              </w:rPr>
              <w:t xml:space="preserve"> </w:t>
            </w:r>
            <w:r>
              <w:rPr>
                <w:rFonts w:eastAsia="Calibri"/>
                <w:lang w:val="en-US"/>
              </w:rPr>
              <w:t>°C.</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8513B6" w14:textId="77777777" w:rsidR="00CF59EF" w:rsidRDefault="000B5D37">
            <w:pPr>
              <w:rPr>
                <w:rFonts w:eastAsia="Calibri"/>
              </w:rPr>
            </w:pPr>
            <w:r>
              <w:rPr>
                <w:rFonts w:eastAsia="Calibri"/>
              </w:rPr>
              <w:t>Ref no.</w:t>
            </w:r>
          </w:p>
          <w:p w14:paraId="6351FD5D" w14:textId="77777777" w:rsidR="00CF59EF" w:rsidRDefault="000B5D37">
            <w:pPr>
              <w:rPr>
                <w:rFonts w:eastAsia="Calibri"/>
              </w:rPr>
            </w:pPr>
            <w:r>
              <w:rPr>
                <w:rFonts w:eastAsia="Calibri"/>
              </w:rPr>
              <w:t>2.2.2-02</w:t>
            </w:r>
          </w:p>
          <w:p w14:paraId="5B71C73A"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14:paraId="45EB282C"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FDAC6E" w14:textId="77777777" w:rsidR="00CF59EF" w:rsidRDefault="000B5D37">
            <w:pPr>
              <w:rPr>
                <w:rFonts w:eastAsia="Calibri"/>
              </w:rPr>
            </w:pPr>
            <w:r>
              <w:rPr>
                <w:rFonts w:eastAsia="Calibri"/>
              </w:rPr>
              <w:t>Colour at 20 °C and 101.3 kPa</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CCE07D" w14:textId="77777777" w:rsidR="00CF59EF" w:rsidRDefault="000B5D37">
            <w:pPr>
              <w:rPr>
                <w:rFonts w:eastAsia="Calibri"/>
              </w:rPr>
            </w:pPr>
            <w:r>
              <w:rPr>
                <w:rFonts w:eastAsia="Calibri"/>
              </w:rPr>
              <w:t>EPA OPPTS 830.6302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CCDDDF"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53689245" w14:textId="77777777" w:rsidR="00CF59EF" w:rsidRDefault="00CF59EF">
            <w:pPr>
              <w:rPr>
                <w:rFonts w:cs="TimesNewRomanPSMT"/>
                <w:lang w:val="nl-NL" w:eastAsia="en-US"/>
              </w:rPr>
            </w:pPr>
          </w:p>
          <w:p w14:paraId="6DC04E3C" w14:textId="77777777" w:rsidR="00CF59EF" w:rsidRDefault="000B5D37">
            <w:pPr>
              <w:rPr>
                <w:rFonts w:cs="TimesNewRomanPSMT"/>
                <w:lang w:val="nl-NL" w:eastAsia="en-US"/>
              </w:rPr>
            </w:pPr>
            <w:r>
              <w:rPr>
                <w:rFonts w:cs="TimesNewRomanPSMT"/>
                <w:lang w:val="nl-NL" w:eastAsia="en-US"/>
              </w:rPr>
              <w:t xml:space="preserve">Batch </w:t>
            </w:r>
          </w:p>
          <w:p w14:paraId="05864697" w14:textId="77777777" w:rsidR="00CF59EF" w:rsidRDefault="000B5D37">
            <w:pPr>
              <w:rPr>
                <w:rFonts w:eastAsia="Calibri"/>
              </w:rPr>
            </w:pPr>
            <w:r>
              <w:rPr>
                <w:rFonts w:cs="TimesNewRomanPSMT"/>
                <w:lang w:val="nl-NL" w:eastAsia="en-US"/>
              </w:rPr>
              <w:t>1748-4</w:t>
            </w:r>
            <w:r>
              <w:rPr>
                <w:rFonts w:eastAsia="Calibri"/>
              </w:rPr>
              <w:t>&gt;99.9%</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4ECCD3" w14:textId="77777777" w:rsidR="00CF59EF" w:rsidRDefault="000B5D37">
            <w:pPr>
              <w:rPr>
                <w:rFonts w:eastAsia="Calibri"/>
              </w:rPr>
            </w:pPr>
            <w:r>
              <w:rPr>
                <w:rFonts w:eastAsia="Calibri"/>
              </w:rPr>
              <w:t>White</w:t>
            </w:r>
          </w:p>
          <w:p w14:paraId="69147671" w14:textId="77777777" w:rsidR="00CF59EF" w:rsidRDefault="00CF59EF">
            <w:pPr>
              <w:rPr>
                <w:rFonts w:eastAsia="Calibri"/>
              </w:rPr>
            </w:pPr>
          </w:p>
          <w:p w14:paraId="5110CB4E" w14:textId="77777777" w:rsidR="00CF59EF" w:rsidRDefault="000B5D37">
            <w:pPr>
              <w:rPr>
                <w:rFonts w:eastAsia="Calibri"/>
              </w:rPr>
            </w:pPr>
            <w:r>
              <w:rPr>
                <w:rFonts w:eastAsia="Calibri"/>
              </w:rPr>
              <w:t>Evaluations performed at 22</w:t>
            </w:r>
            <w:r w:rsidR="00645781">
              <w:rPr>
                <w:rFonts w:eastAsia="Calibri"/>
              </w:rPr>
              <w:t xml:space="preserve"> </w:t>
            </w:r>
            <w:r>
              <w:rPr>
                <w:rFonts w:eastAsia="Calibri"/>
              </w:rPr>
              <w:t>°C.</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544BA7" w14:textId="77777777" w:rsidR="00CF59EF" w:rsidRDefault="000B5D37">
            <w:pPr>
              <w:rPr>
                <w:rFonts w:eastAsia="Calibri"/>
              </w:rPr>
            </w:pPr>
            <w:r>
              <w:rPr>
                <w:rFonts w:eastAsia="Calibri"/>
              </w:rPr>
              <w:t>Ref no.</w:t>
            </w:r>
          </w:p>
          <w:p w14:paraId="18E6F0C1" w14:textId="77777777" w:rsidR="00CF59EF" w:rsidRDefault="000B5D37">
            <w:pPr>
              <w:rPr>
                <w:rFonts w:eastAsia="Calibri"/>
              </w:rPr>
            </w:pPr>
            <w:r>
              <w:rPr>
                <w:rFonts w:eastAsia="Calibri"/>
              </w:rPr>
              <w:t>2.2.2-02</w:t>
            </w:r>
          </w:p>
          <w:p w14:paraId="6EAEE098"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14:paraId="0A571FC3"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70EAB0" w14:textId="77777777" w:rsidR="00CF59EF" w:rsidRDefault="000B5D37">
            <w:pPr>
              <w:rPr>
                <w:rFonts w:eastAsia="Calibri"/>
              </w:rPr>
            </w:pPr>
            <w:r>
              <w:rPr>
                <w:rFonts w:eastAsia="Calibri"/>
              </w:rPr>
              <w:t>Odour at 20 °C and 101.3 kPa</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E83F73" w14:textId="77777777" w:rsidR="00CF59EF" w:rsidRDefault="000B5D37">
            <w:pPr>
              <w:rPr>
                <w:rFonts w:eastAsia="Calibri"/>
              </w:rPr>
            </w:pPr>
            <w:r>
              <w:rPr>
                <w:rFonts w:eastAsia="Calibri"/>
              </w:rPr>
              <w:t>EPA OPPTS 830.630</w:t>
            </w:r>
            <w:r w:rsidR="00AC642F">
              <w:rPr>
                <w:rFonts w:eastAsia="Calibri"/>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D6ECA2"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5B40ABC3" w14:textId="77777777" w:rsidR="00CF59EF" w:rsidRDefault="00CF59EF">
            <w:pPr>
              <w:rPr>
                <w:rFonts w:cs="TimesNewRomanPSMT"/>
                <w:lang w:val="nl-NL" w:eastAsia="en-US"/>
              </w:rPr>
            </w:pPr>
          </w:p>
          <w:p w14:paraId="5B0A386C" w14:textId="77777777" w:rsidR="00CF59EF" w:rsidRDefault="000B5D37">
            <w:pPr>
              <w:rPr>
                <w:rFonts w:cs="TimesNewRomanPSMT"/>
                <w:lang w:val="nl-NL" w:eastAsia="en-US"/>
              </w:rPr>
            </w:pPr>
            <w:r>
              <w:rPr>
                <w:rFonts w:cs="TimesNewRomanPSMT"/>
                <w:lang w:val="nl-NL" w:eastAsia="en-US"/>
              </w:rPr>
              <w:t xml:space="preserve">Batch </w:t>
            </w:r>
          </w:p>
          <w:p w14:paraId="3223663F" w14:textId="77777777" w:rsidR="00CF59EF" w:rsidRDefault="000B5D37">
            <w:pPr>
              <w:rPr>
                <w:rFonts w:eastAsia="Calibri"/>
              </w:rPr>
            </w:pPr>
            <w:r>
              <w:rPr>
                <w:rFonts w:cs="TimesNewRomanPSMT"/>
                <w:lang w:val="nl-NL" w:eastAsia="en-US"/>
              </w:rPr>
              <w:t>1748-4</w:t>
            </w:r>
            <w:r>
              <w:rPr>
                <w:rFonts w:eastAsia="Calibri"/>
              </w:rPr>
              <w:t>&gt;99.9%</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63EA7" w14:textId="77777777" w:rsidR="00CF59EF" w:rsidRDefault="000B5D37">
            <w:pPr>
              <w:rPr>
                <w:rFonts w:eastAsia="Calibri"/>
              </w:rPr>
            </w:pPr>
            <w:r>
              <w:rPr>
                <w:rFonts w:eastAsia="Calibri"/>
              </w:rPr>
              <w:t xml:space="preserve">Odourless </w:t>
            </w:r>
          </w:p>
          <w:p w14:paraId="576E563F" w14:textId="77777777" w:rsidR="00CF59EF" w:rsidRDefault="00CF59EF">
            <w:pPr>
              <w:rPr>
                <w:rFonts w:eastAsia="Calibri"/>
              </w:rPr>
            </w:pPr>
          </w:p>
          <w:p w14:paraId="3EEF96F6" w14:textId="77777777" w:rsidR="00CF59EF" w:rsidRDefault="000B5D37">
            <w:pPr>
              <w:rPr>
                <w:rFonts w:eastAsia="Calibri"/>
              </w:rPr>
            </w:pPr>
            <w:r>
              <w:rPr>
                <w:rFonts w:eastAsia="Calibri"/>
              </w:rPr>
              <w:t>Evaluations performed at 22</w:t>
            </w:r>
            <w:r w:rsidR="00645781">
              <w:rPr>
                <w:rFonts w:eastAsia="Calibri"/>
              </w:rPr>
              <w:t xml:space="preserve"> </w:t>
            </w:r>
            <w:r>
              <w:rPr>
                <w:rFonts w:eastAsia="Calibri"/>
              </w:rPr>
              <w:t>°C.</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7F40AD" w14:textId="77777777" w:rsidR="00CF59EF" w:rsidRDefault="000B5D37">
            <w:pPr>
              <w:rPr>
                <w:rFonts w:eastAsia="Calibri"/>
              </w:rPr>
            </w:pPr>
            <w:r>
              <w:rPr>
                <w:rFonts w:eastAsia="Calibri"/>
              </w:rPr>
              <w:t>Ref no.</w:t>
            </w:r>
          </w:p>
          <w:p w14:paraId="14E0D024" w14:textId="77777777" w:rsidR="00CF59EF" w:rsidRDefault="000B5D37">
            <w:pPr>
              <w:rPr>
                <w:rFonts w:eastAsia="Calibri"/>
              </w:rPr>
            </w:pPr>
            <w:r>
              <w:rPr>
                <w:rFonts w:eastAsia="Calibri"/>
              </w:rPr>
              <w:t>2.2.2-02</w:t>
            </w:r>
          </w:p>
          <w:p w14:paraId="0F9DBDC3"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31859CA9" w14:textId="77777777" w:rsidR="00CF59EF" w:rsidRDefault="00CF59EF">
            <w:pPr>
              <w:rPr>
                <w:rFonts w:eastAsia="Calibri"/>
              </w:rPr>
            </w:pPr>
          </w:p>
          <w:p w14:paraId="6DD7C96C" w14:textId="77777777" w:rsidR="00CF59EF" w:rsidRDefault="00CF59EF" w:rsidP="007E0009">
            <w:pPr>
              <w:rPr>
                <w:rFonts w:eastAsia="Calibri"/>
              </w:rPr>
            </w:pPr>
          </w:p>
        </w:tc>
      </w:tr>
      <w:tr w:rsidR="00224331" w14:paraId="136A2805"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6A2221" w14:textId="77777777" w:rsidR="00CF59EF" w:rsidRDefault="000B5D37">
            <w:pPr>
              <w:rPr>
                <w:rFonts w:eastAsia="Calibri"/>
              </w:rPr>
            </w:pPr>
            <w:r>
              <w:rPr>
                <w:rFonts w:eastAsia="Calibri"/>
              </w:rPr>
              <w:t>Acidity / alkalinity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AC1EDC"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28B3B8"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834C7F" w14:textId="77777777" w:rsidR="00CF59EF" w:rsidRDefault="000B5D37">
            <w:pPr>
              <w:rPr>
                <w:rFonts w:eastAsia="Calibri"/>
              </w:rPr>
            </w:pPr>
            <w:r>
              <w:rPr>
                <w:rFonts w:eastAsia="Calibri"/>
              </w:rPr>
              <w:t>Acidity/alkalinity is not required since the pH of a 1% aqueous solution of the biocid</w:t>
            </w:r>
            <w:r w:rsidR="00B0265B">
              <w:rPr>
                <w:rFonts w:eastAsia="Calibri"/>
              </w:rPr>
              <w:t>al</w:t>
            </w:r>
            <w:r w:rsidR="00FE07F9">
              <w:rPr>
                <w:rFonts w:eastAsia="Calibri"/>
              </w:rPr>
              <w:t xml:space="preserve"> </w:t>
            </w:r>
            <w:r>
              <w:rPr>
                <w:rFonts w:eastAsia="Calibri"/>
              </w:rPr>
              <w:t>product is in the range of 4-10 (pH = 7.21). Furthermore the product itself is not applied as aqueous solution.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1A75E4" w14:textId="77777777" w:rsidR="00CF59EF" w:rsidRDefault="00171023">
            <w:pPr>
              <w:rPr>
                <w:rFonts w:eastAsia="Calibri"/>
              </w:rPr>
            </w:pPr>
            <w:r>
              <w:rPr>
                <w:rFonts w:eastAsia="Calibri"/>
              </w:rPr>
              <w:t>-</w:t>
            </w:r>
          </w:p>
          <w:p w14:paraId="1D295677" w14:textId="77777777" w:rsidR="00CF59EF" w:rsidRDefault="00CF59EF">
            <w:pPr>
              <w:rPr>
                <w:rFonts w:eastAsia="Calibri"/>
              </w:rPr>
            </w:pPr>
          </w:p>
          <w:p w14:paraId="55E6D444" w14:textId="77777777" w:rsidR="00CF59EF" w:rsidRDefault="00CF59EF">
            <w:pPr>
              <w:rPr>
                <w:rFonts w:eastAsia="Calibri"/>
              </w:rPr>
            </w:pPr>
          </w:p>
        </w:tc>
      </w:tr>
      <w:tr w:rsidR="00224331" w14:paraId="5BFA4E77"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8E1032" w14:textId="77777777" w:rsidR="00CF59EF" w:rsidRDefault="000B5D37">
            <w:pPr>
              <w:rPr>
                <w:rFonts w:eastAsia="Calibri"/>
              </w:rPr>
            </w:pPr>
            <w:r>
              <w:rPr>
                <w:rFonts w:eastAsia="Calibri"/>
              </w:rPr>
              <w:t>pH</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039D5" w14:textId="77777777" w:rsidR="00CF59EF" w:rsidRDefault="000B5D37">
            <w:pPr>
              <w:rPr>
                <w:rFonts w:eastAsia="Calibri"/>
              </w:rPr>
            </w:pPr>
            <w:r>
              <w:rPr>
                <w:rFonts w:eastAsia="Calibri"/>
              </w:rPr>
              <w:t>EPA OPPTS 830.7000</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7A141"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124224A4" w14:textId="77777777" w:rsidR="00CF59EF" w:rsidRDefault="00CF59EF">
            <w:pPr>
              <w:rPr>
                <w:rFonts w:cs="TimesNewRomanPSMT"/>
                <w:lang w:val="nl-NL" w:eastAsia="en-US"/>
              </w:rPr>
            </w:pPr>
          </w:p>
          <w:p w14:paraId="0E845BF5" w14:textId="77777777" w:rsidR="00CF59EF" w:rsidRDefault="000B5D37">
            <w:pPr>
              <w:rPr>
                <w:rFonts w:cs="TimesNewRomanPSMT"/>
                <w:lang w:val="nl-NL" w:eastAsia="en-US"/>
              </w:rPr>
            </w:pPr>
            <w:r>
              <w:rPr>
                <w:rFonts w:cs="TimesNewRomanPSMT"/>
                <w:lang w:val="nl-NL" w:eastAsia="en-US"/>
              </w:rPr>
              <w:t xml:space="preserve">Batch </w:t>
            </w:r>
          </w:p>
          <w:p w14:paraId="06C87836" w14:textId="77777777" w:rsidR="00CF59EF" w:rsidRDefault="000B5D37">
            <w:pPr>
              <w:rPr>
                <w:rFonts w:eastAsia="Calibri"/>
              </w:rPr>
            </w:pPr>
            <w:r>
              <w:rPr>
                <w:rFonts w:cs="TimesNewRomanPSMT"/>
                <w:lang w:val="nl-NL" w:eastAsia="en-US"/>
              </w:rPr>
              <w:t>1748-4</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B8578E" w14:textId="77777777" w:rsidR="00CF59EF" w:rsidRDefault="000B5D37">
            <w:pPr>
              <w:rPr>
                <w:rFonts w:eastAsia="Calibri"/>
              </w:rPr>
            </w:pPr>
            <w:r>
              <w:rPr>
                <w:rFonts w:eastAsia="Calibri"/>
              </w:rPr>
              <w:t>pH (25°C, 1% aqueous solution) = 7.21</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03B54E" w14:textId="77777777" w:rsidR="00CF59EF" w:rsidRDefault="000B5D37">
            <w:pPr>
              <w:rPr>
                <w:rFonts w:eastAsia="Calibri"/>
              </w:rPr>
            </w:pPr>
            <w:r>
              <w:rPr>
                <w:rFonts w:eastAsia="Calibri"/>
              </w:rPr>
              <w:t>Ref no.</w:t>
            </w:r>
          </w:p>
          <w:p w14:paraId="434F5F8E" w14:textId="77777777" w:rsidR="00CF59EF" w:rsidRDefault="000B5D37">
            <w:pPr>
              <w:rPr>
                <w:rFonts w:eastAsia="Calibri"/>
              </w:rPr>
            </w:pPr>
            <w:r>
              <w:rPr>
                <w:rFonts w:eastAsia="Calibri"/>
              </w:rPr>
              <w:t>2.2.2-02</w:t>
            </w:r>
          </w:p>
          <w:p w14:paraId="5711ABD7"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14:paraId="1ABC60D8"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A112A2" w14:textId="77777777" w:rsidR="00CF59EF" w:rsidRDefault="000B5D37">
            <w:pPr>
              <w:rPr>
                <w:rFonts w:eastAsia="Calibri"/>
              </w:rPr>
            </w:pPr>
            <w:bookmarkStart w:id="1284" w:name="_Toc244336298"/>
            <w:bookmarkEnd w:id="1284"/>
            <w:r>
              <w:rPr>
                <w:rFonts w:eastAsia="Calibri"/>
              </w:rPr>
              <w:t>Relative density / bulk density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549DCE" w14:textId="77777777" w:rsidR="00CF59EF" w:rsidRDefault="000B5D37">
            <w:pPr>
              <w:rPr>
                <w:rFonts w:eastAsia="Calibri"/>
              </w:rPr>
            </w:pPr>
            <w:r>
              <w:rPr>
                <w:rFonts w:eastAsia="Calibri"/>
              </w:rPr>
              <w:t>EC A3</w:t>
            </w:r>
          </w:p>
          <w:p w14:paraId="5B36B037" w14:textId="77777777" w:rsidR="00CF59EF" w:rsidRDefault="000B5D37">
            <w:pPr>
              <w:rPr>
                <w:rFonts w:eastAsia="Calibri"/>
              </w:rPr>
            </w:pPr>
            <w:r>
              <w:rPr>
                <w:rFonts w:eastAsia="Calibri"/>
              </w:rPr>
              <w:t>OECD 109</w:t>
            </w:r>
          </w:p>
          <w:p w14:paraId="5C1319A7" w14:textId="77777777" w:rsidR="00CF59EF" w:rsidRDefault="00CF59EF">
            <w:pPr>
              <w:rPr>
                <w:rFonts w:eastAsia="Calibri"/>
              </w:rPr>
            </w:pPr>
          </w:p>
          <w:p w14:paraId="63CBF62E" w14:textId="77777777" w:rsidR="00CF59EF" w:rsidRDefault="000B5D37">
            <w:pPr>
              <w:rPr>
                <w:rFonts w:eastAsia="Calibri"/>
              </w:rPr>
            </w:pPr>
            <w:r>
              <w:rPr>
                <w:rFonts w:eastAsia="Calibri"/>
              </w:rPr>
              <w:t>gas comparison pycnometer</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B02CBD" w14:textId="77777777" w:rsidR="00CF59EF" w:rsidRDefault="000B5D37">
            <w:pPr>
              <w:rPr>
                <w:rFonts w:eastAsia="Calibri"/>
              </w:rPr>
            </w:pPr>
            <w:r>
              <w:rPr>
                <w:rFonts w:eastAsia="Calibri"/>
              </w:rPr>
              <w:lastRenderedPageBreak/>
              <w:t xml:space="preserve">Not indicated; </w:t>
            </w:r>
            <w:r>
              <w:rPr>
                <w:rFonts w:eastAsia="Calibri"/>
              </w:rPr>
              <w:lastRenderedPageBreak/>
              <w:t>treated as 100% pure in the study.</w:t>
            </w:r>
          </w:p>
          <w:p w14:paraId="5BB102F5" w14:textId="77777777" w:rsidR="00CF59EF" w:rsidRDefault="00CF59EF">
            <w:pPr>
              <w:rPr>
                <w:rFonts w:eastAsia="Calibri"/>
              </w:rPr>
            </w:pPr>
          </w:p>
          <w:p w14:paraId="30CB68F7" w14:textId="77777777" w:rsidR="00CF59EF" w:rsidRDefault="000B5D37">
            <w:pPr>
              <w:rPr>
                <w:rFonts w:eastAsia="Calibri"/>
              </w:rPr>
            </w:pPr>
            <w:r>
              <w:rPr>
                <w:rFonts w:eastAsia="Calibri"/>
              </w:rPr>
              <w:t>Batch 0950-1</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869E28" w14:textId="77777777" w:rsidR="00CF59EF" w:rsidRDefault="000B5D37">
            <w:pPr>
              <w:rPr>
                <w:rFonts w:eastAsia="Calibri"/>
              </w:rPr>
            </w:pPr>
            <w:r>
              <w:rPr>
                <w:rFonts w:eastAsia="Calibri"/>
              </w:rPr>
              <w:lastRenderedPageBreak/>
              <w:t>The density is 1.5 g/cm</w:t>
            </w:r>
            <w:r>
              <w:rPr>
                <w:rFonts w:eastAsia="Calibri"/>
                <w:vertAlign w:val="superscript"/>
              </w:rPr>
              <w:t>3</w:t>
            </w:r>
            <w:r>
              <w:rPr>
                <w:rFonts w:eastAsia="Calibri"/>
              </w:rPr>
              <w:t xml:space="preserve"> (1.5 </w:t>
            </w:r>
            <w:r>
              <w:rPr>
                <w:rFonts w:eastAsia="Calibri"/>
              </w:rPr>
              <w:lastRenderedPageBreak/>
              <w:t>x 10</w:t>
            </w:r>
            <w:r>
              <w:rPr>
                <w:rFonts w:eastAsia="Calibri"/>
                <w:vertAlign w:val="superscript"/>
              </w:rPr>
              <w:t>3</w:t>
            </w:r>
            <w:r>
              <w:rPr>
                <w:rFonts w:eastAsia="Calibri"/>
              </w:rPr>
              <w:t xml:space="preserve"> kg/m</w:t>
            </w:r>
            <w:r>
              <w:rPr>
                <w:rFonts w:eastAsia="Calibri"/>
                <w:vertAlign w:val="superscript"/>
              </w:rPr>
              <w:t>3</w:t>
            </w:r>
            <w:r>
              <w:rPr>
                <w:rFonts w:eastAsia="Calibri"/>
              </w:rPr>
              <w:t xml:space="preserve">) at 20°C. The relative density </w:t>
            </w:r>
            <w:r w:rsidR="007474AA">
              <w:rPr>
                <w:rFonts w:eastAsia="Calibri"/>
              </w:rPr>
              <w:t>(D</w:t>
            </w:r>
            <w:r w:rsidR="007474AA">
              <w:rPr>
                <w:rFonts w:eastAsia="Calibri"/>
                <w:vertAlign w:val="superscript"/>
              </w:rPr>
              <w:t>20</w:t>
            </w:r>
            <w:r w:rsidR="007474AA">
              <w:rPr>
                <w:rFonts w:eastAsia="Calibri"/>
                <w:vertAlign w:val="subscript"/>
              </w:rPr>
              <w:t>4</w:t>
            </w:r>
            <w:r w:rsidR="007474AA">
              <w:rPr>
                <w:rFonts w:eastAsia="Calibri"/>
              </w:rPr>
              <w:t xml:space="preserve">) </w:t>
            </w:r>
            <w:r>
              <w:rPr>
                <w:rFonts w:eastAsia="Calibri"/>
              </w:rPr>
              <w:t>is 1.5 at 20</w:t>
            </w:r>
            <w:r w:rsidR="00D238B4">
              <w:rPr>
                <w:rFonts w:eastAsia="Calibri"/>
              </w:rPr>
              <w:t xml:space="preserve"> </w:t>
            </w:r>
            <w:r>
              <w:rPr>
                <w:rFonts w:eastAsia="Calibri"/>
              </w:rPr>
              <w:t>°C.</w:t>
            </w:r>
          </w:p>
          <w:p w14:paraId="756E1083" w14:textId="77777777" w:rsidR="00CF59EF" w:rsidRDefault="00CF59EF">
            <w:pPr>
              <w:rPr>
                <w:rFonts w:eastAsia="Calibri"/>
              </w:rPr>
            </w:pPr>
          </w:p>
          <w:p w14:paraId="1A7C6355" w14:textId="77777777" w:rsidR="00CF59EF" w:rsidRDefault="00CF59EF">
            <w:pPr>
              <w:rPr>
                <w:rFonts w:eastAsia="Calibri"/>
              </w:rPr>
            </w:pPr>
          </w:p>
          <w:p w14:paraId="30FB8387" w14:textId="77777777" w:rsidR="00CF59EF" w:rsidRDefault="00CF59EF">
            <w:pPr>
              <w:rPr>
                <w:rFonts w:eastAsia="Calibri"/>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F1AF1B" w14:textId="77777777" w:rsidR="00CF59EF" w:rsidRDefault="000B5D37">
            <w:pPr>
              <w:rPr>
                <w:rFonts w:eastAsia="Calibri"/>
              </w:rPr>
            </w:pPr>
            <w:r>
              <w:rPr>
                <w:rFonts w:eastAsia="Calibri"/>
              </w:rPr>
              <w:lastRenderedPageBreak/>
              <w:t>Ref no.</w:t>
            </w:r>
          </w:p>
          <w:p w14:paraId="41D76936" w14:textId="77777777" w:rsidR="00CF59EF" w:rsidRDefault="000B5D37">
            <w:pPr>
              <w:rPr>
                <w:rFonts w:eastAsia="Calibri"/>
              </w:rPr>
            </w:pPr>
            <w:r>
              <w:rPr>
                <w:rFonts w:eastAsia="Calibri"/>
              </w:rPr>
              <w:t>2.2.2-01</w:t>
            </w:r>
          </w:p>
          <w:p w14:paraId="7FEC249D" w14:textId="77777777" w:rsidR="00CF59EF" w:rsidRDefault="000B5D37">
            <w:pPr>
              <w:rPr>
                <w:rFonts w:eastAsia="Calibri"/>
              </w:rPr>
            </w:pPr>
            <w:r>
              <w:rPr>
                <w:rFonts w:eastAsia="Calibri"/>
              </w:rPr>
              <w:lastRenderedPageBreak/>
              <w:t>(</w:t>
            </w:r>
            <w:proofErr w:type="spellStart"/>
            <w:r w:rsidR="002F4C58" w:rsidRPr="002F4C58">
              <w:rPr>
                <w:rFonts w:eastAsia="Calibri"/>
                <w:highlight w:val="black"/>
              </w:rPr>
              <w:t>xxxxx</w:t>
            </w:r>
            <w:proofErr w:type="spellEnd"/>
            <w:r>
              <w:rPr>
                <w:rFonts w:eastAsia="Calibri"/>
              </w:rPr>
              <w:t>)</w:t>
            </w:r>
          </w:p>
          <w:p w14:paraId="21459FBC" w14:textId="77777777" w:rsidR="00CF59EF" w:rsidRDefault="00CF59EF">
            <w:pPr>
              <w:rPr>
                <w:rFonts w:eastAsia="Calibri"/>
              </w:rPr>
            </w:pPr>
          </w:p>
          <w:p w14:paraId="070DBD27" w14:textId="77777777" w:rsidR="00CF59EF" w:rsidRDefault="00CF59EF">
            <w:pPr>
              <w:rPr>
                <w:rFonts w:eastAsia="Calibri"/>
              </w:rPr>
            </w:pPr>
          </w:p>
          <w:p w14:paraId="351E2A14" w14:textId="77777777" w:rsidR="00CF59EF" w:rsidRDefault="00CF59EF">
            <w:pPr>
              <w:rPr>
                <w:rFonts w:eastAsia="Calibri"/>
              </w:rPr>
            </w:pPr>
          </w:p>
          <w:p w14:paraId="614121D9" w14:textId="77777777" w:rsidR="00CF59EF" w:rsidRDefault="00CF59EF">
            <w:pPr>
              <w:rPr>
                <w:rFonts w:eastAsia="Calibri"/>
                <w:i/>
                <w:lang w:val="en-US"/>
              </w:rPr>
            </w:pPr>
          </w:p>
        </w:tc>
      </w:tr>
      <w:tr w:rsidR="00224331" w14:paraId="45AB4424"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DBFE3C" w14:textId="77777777" w:rsidR="00CF59EF" w:rsidRDefault="000B5D37">
            <w:pPr>
              <w:rPr>
                <w:rFonts w:eastAsia="Calibri"/>
              </w:rPr>
            </w:pPr>
            <w:r>
              <w:rPr>
                <w:rFonts w:eastAsia="Calibri"/>
              </w:rPr>
              <w:lastRenderedPageBreak/>
              <w:t>Relative density / bulk density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50D60" w14:textId="77777777" w:rsidR="00CF59EF" w:rsidRDefault="000B5D37">
            <w:pPr>
              <w:rPr>
                <w:rFonts w:eastAsia="Calibri"/>
              </w:rPr>
            </w:pPr>
            <w:r>
              <w:rPr>
                <w:rFonts w:eastAsia="Calibri"/>
              </w:rPr>
              <w:t>EPA OPPTS 830.7300,</w:t>
            </w:r>
          </w:p>
          <w:p w14:paraId="05CF03F4" w14:textId="77777777" w:rsidR="00CF59EF" w:rsidRDefault="000B5D37">
            <w:pPr>
              <w:rPr>
                <w:rFonts w:eastAsia="Calibri"/>
              </w:rPr>
            </w:pPr>
            <w:r>
              <w:rPr>
                <w:rFonts w:eastAsia="Calibri"/>
              </w:rPr>
              <w:t>ASTM E727, CIPAC MT 159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D76694"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6F872BC8" w14:textId="77777777" w:rsidR="00CF59EF" w:rsidRDefault="00CF59EF">
            <w:pPr>
              <w:rPr>
                <w:rFonts w:cs="TimesNewRomanPSMT"/>
                <w:lang w:val="nl-NL" w:eastAsia="en-US"/>
              </w:rPr>
            </w:pPr>
          </w:p>
          <w:p w14:paraId="2FA786C7" w14:textId="77777777" w:rsidR="00CF59EF" w:rsidRDefault="000B5D37">
            <w:pPr>
              <w:rPr>
                <w:rFonts w:cs="TimesNewRomanPSMT"/>
                <w:lang w:val="nl-NL" w:eastAsia="en-US"/>
              </w:rPr>
            </w:pPr>
            <w:r>
              <w:rPr>
                <w:rFonts w:cs="TimesNewRomanPSMT"/>
                <w:lang w:val="nl-NL" w:eastAsia="en-US"/>
              </w:rPr>
              <w:t xml:space="preserve">Batch </w:t>
            </w:r>
          </w:p>
          <w:p w14:paraId="48EA4228" w14:textId="77777777" w:rsidR="00CF59EF" w:rsidRDefault="000B5D37">
            <w:pPr>
              <w:rPr>
                <w:rFonts w:eastAsia="Calibri"/>
              </w:rPr>
            </w:pPr>
            <w:r>
              <w:rPr>
                <w:rFonts w:cs="TimesNewRomanPSMT"/>
                <w:lang w:val="nl-NL" w:eastAsia="en-US"/>
              </w:rPr>
              <w:t>1748-4</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F8C568" w14:textId="77777777" w:rsidR="00CF59EF" w:rsidRDefault="000B5D37">
            <w:pPr>
              <w:rPr>
                <w:rFonts w:eastAsia="Calibri"/>
              </w:rPr>
            </w:pPr>
            <w:r>
              <w:rPr>
                <w:rFonts w:eastAsia="Calibri"/>
              </w:rPr>
              <w:t>Bulk density: 811.6 g/L at 22</w:t>
            </w:r>
            <w:r w:rsidR="00D238B4">
              <w:rPr>
                <w:rFonts w:eastAsia="Calibri"/>
              </w:rPr>
              <w:t xml:space="preserve"> </w:t>
            </w:r>
            <w:r>
              <w:rPr>
                <w:rFonts w:eastAsia="Calibri"/>
              </w:rPr>
              <w:t>°C</w:t>
            </w:r>
          </w:p>
          <w:p w14:paraId="2BBA0E8F" w14:textId="77777777" w:rsidR="00CF59EF" w:rsidRDefault="00CF59EF">
            <w:pPr>
              <w:rPr>
                <w:rFonts w:eastAsia="Calibri"/>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CD4D62" w14:textId="77777777" w:rsidR="00CF59EF" w:rsidRDefault="000B5D37">
            <w:pPr>
              <w:rPr>
                <w:rFonts w:eastAsia="Calibri"/>
              </w:rPr>
            </w:pPr>
            <w:r>
              <w:rPr>
                <w:rFonts w:eastAsia="Calibri"/>
              </w:rPr>
              <w:t>Ref no.</w:t>
            </w:r>
          </w:p>
          <w:p w14:paraId="2E1E5C61" w14:textId="77777777" w:rsidR="00CF59EF" w:rsidRDefault="000B5D37">
            <w:pPr>
              <w:rPr>
                <w:rFonts w:eastAsia="Calibri"/>
              </w:rPr>
            </w:pPr>
            <w:r>
              <w:rPr>
                <w:rFonts w:eastAsia="Calibri"/>
              </w:rPr>
              <w:t>2.2.2-02</w:t>
            </w:r>
          </w:p>
          <w:p w14:paraId="5DCABC6B"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14:paraId="64970D66"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61E8CD" w14:textId="77777777" w:rsidR="00CF59EF" w:rsidRDefault="000B5D37">
            <w:pPr>
              <w:rPr>
                <w:rFonts w:eastAsia="Calibri"/>
              </w:rPr>
            </w:pPr>
            <w:r>
              <w:rPr>
                <w:rFonts w:eastAsia="Calibri"/>
              </w:rPr>
              <w:t>Relative density / bulk density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2CE481" w14:textId="77777777" w:rsidR="00CF59EF" w:rsidRDefault="000B5D37">
            <w:pPr>
              <w:rPr>
                <w:rFonts w:eastAsia="Calibri"/>
              </w:rPr>
            </w:pPr>
            <w:r>
              <w:rPr>
                <w:rFonts w:eastAsia="Calibri"/>
              </w:rPr>
              <w:t>Similar to OECD 109 (pour density)</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46EF26" w14:textId="77777777" w:rsidR="00CF59EF" w:rsidRDefault="000B5D37">
            <w:pPr>
              <w:rPr>
                <w:rFonts w:eastAsia="Calibri"/>
              </w:rPr>
            </w:pPr>
            <w:r>
              <w:rPr>
                <w:rFonts w:eastAsia="Calibri"/>
              </w:rPr>
              <w:t>Not indicated; regarded pure grade</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5146D2" w14:textId="77777777" w:rsidR="00CF59EF" w:rsidRDefault="000B5D37">
            <w:pPr>
              <w:rPr>
                <w:rFonts w:eastAsia="Calibri"/>
              </w:rPr>
            </w:pPr>
            <w:r>
              <w:rPr>
                <w:rFonts w:eastAsia="Calibri"/>
              </w:rPr>
              <w:t>Bulk density: 700 - 800 g/L</w:t>
            </w:r>
          </w:p>
          <w:p w14:paraId="6B169ABD" w14:textId="77777777" w:rsidR="00CF59EF" w:rsidRDefault="00CF59EF">
            <w:pPr>
              <w:rPr>
                <w:rFonts w:eastAsia="Calibri"/>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3B2431" w14:textId="77777777" w:rsidR="00CF59EF" w:rsidRDefault="000B5D37">
            <w:pPr>
              <w:rPr>
                <w:rFonts w:eastAsia="Calibri"/>
              </w:rPr>
            </w:pPr>
            <w:r>
              <w:rPr>
                <w:rFonts w:eastAsia="Calibri"/>
              </w:rPr>
              <w:t xml:space="preserve">Ref no. </w:t>
            </w:r>
          </w:p>
          <w:p w14:paraId="40E85C6B" w14:textId="77777777" w:rsidR="00CF59EF" w:rsidRDefault="000B5D37">
            <w:pPr>
              <w:rPr>
                <w:rFonts w:eastAsia="Calibri"/>
              </w:rPr>
            </w:pPr>
            <w:r>
              <w:rPr>
                <w:rFonts w:eastAsia="Calibri"/>
              </w:rPr>
              <w:t>2.2.2-03</w:t>
            </w:r>
          </w:p>
          <w:p w14:paraId="2D2E4EF0"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14:paraId="7A705163" w14:textId="77777777" w:rsidTr="004C122A">
        <w:tc>
          <w:tcPr>
            <w:tcW w:w="941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E9F573" w14:textId="77777777" w:rsidR="00CF59EF" w:rsidRDefault="000B5D37">
            <w:pPr>
              <w:rPr>
                <w:rFonts w:eastAsia="Calibri"/>
                <w:b/>
              </w:rPr>
            </w:pPr>
            <w:proofErr w:type="spellStart"/>
            <w:r>
              <w:rPr>
                <w:rFonts w:eastAsia="Calibri"/>
                <w:b/>
              </w:rPr>
              <w:t>eCA</w:t>
            </w:r>
            <w:proofErr w:type="spellEnd"/>
            <w:r>
              <w:rPr>
                <w:rFonts w:eastAsia="Calibri"/>
                <w:b/>
              </w:rPr>
              <w:t xml:space="preserve"> remark</w:t>
            </w:r>
          </w:p>
          <w:p w14:paraId="5779E5C3" w14:textId="77777777" w:rsidR="00CF59EF" w:rsidRDefault="000B5D37">
            <w:pPr>
              <w:rPr>
                <w:rFonts w:eastAsia="Calibri"/>
              </w:rPr>
            </w:pPr>
            <w:r>
              <w:rPr>
                <w:rFonts w:eastAsia="Calibri"/>
              </w:rPr>
              <w:t xml:space="preserve">Acceptable. Considering the product is a solid, a bulk density determination should have been performed for the product. As the active substance is identical to the product, the </w:t>
            </w:r>
            <w:proofErr w:type="spellStart"/>
            <w:r>
              <w:rPr>
                <w:rFonts w:eastAsia="Calibri"/>
              </w:rPr>
              <w:t>eCA</w:t>
            </w:r>
            <w:proofErr w:type="spellEnd"/>
            <w:r>
              <w:rPr>
                <w:rFonts w:eastAsia="Calibri"/>
              </w:rPr>
              <w:t xml:space="preserve"> considers an additional determination not necessary.</w:t>
            </w:r>
          </w:p>
        </w:tc>
      </w:tr>
      <w:tr w:rsidR="00224331" w14:paraId="26BB377A"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EF4437" w14:textId="77777777" w:rsidR="00CF59EF" w:rsidRDefault="000B5D37">
            <w:pPr>
              <w:rPr>
                <w:rFonts w:eastAsia="Calibri"/>
              </w:rPr>
            </w:pPr>
            <w:r>
              <w:rPr>
                <w:rFonts w:eastAsia="Calibri"/>
              </w:rPr>
              <w:t xml:space="preserve">Storage stability test – </w:t>
            </w:r>
            <w:r>
              <w:rPr>
                <w:rFonts w:eastAsia="Calibri"/>
                <w:b/>
              </w:rPr>
              <w:t>accelerated storage</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8D88F" w14:textId="77777777" w:rsidR="00CF59EF" w:rsidRDefault="000B5D37">
            <w:pPr>
              <w:rPr>
                <w:rFonts w:eastAsia="Calibri"/>
              </w:rPr>
            </w:pPr>
            <w:r>
              <w:rPr>
                <w:rFonts w:eastAsia="Calibri"/>
              </w:rPr>
              <w:t>OPPTS 830.6317</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38B2FA"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0936F02C" w14:textId="77777777" w:rsidR="00CF59EF" w:rsidRDefault="00CF59EF">
            <w:pPr>
              <w:rPr>
                <w:rFonts w:cs="TimesNewRomanPSMT"/>
                <w:lang w:val="nl-NL" w:eastAsia="en-US"/>
              </w:rPr>
            </w:pPr>
          </w:p>
          <w:p w14:paraId="1BA8892D" w14:textId="77777777" w:rsidR="00CF59EF" w:rsidRDefault="000B5D37">
            <w:pPr>
              <w:rPr>
                <w:rFonts w:cs="TimesNewRomanPSMT"/>
                <w:lang w:val="nl-NL" w:eastAsia="en-US"/>
              </w:rPr>
            </w:pPr>
            <w:r>
              <w:rPr>
                <w:rFonts w:cs="TimesNewRomanPSMT"/>
                <w:lang w:val="nl-NL" w:eastAsia="en-US"/>
              </w:rPr>
              <w:t xml:space="preserve">Batch </w:t>
            </w:r>
          </w:p>
          <w:p w14:paraId="2BA337E0" w14:textId="77777777" w:rsidR="00CF59EF" w:rsidRDefault="000B5D37">
            <w:pPr>
              <w:rPr>
                <w:rFonts w:eastAsia="Calibri"/>
              </w:rPr>
            </w:pPr>
            <w:r>
              <w:rPr>
                <w:rFonts w:cs="TimesNewRomanPSMT"/>
                <w:lang w:val="nl-NL" w:eastAsia="en-US"/>
              </w:rPr>
              <w:t>1748-4</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A34C84" w14:textId="77777777" w:rsidR="0000502D" w:rsidRDefault="00645781" w:rsidP="0000502D">
            <w:pPr>
              <w:rPr>
                <w:rFonts w:eastAsia="Calibri"/>
              </w:rPr>
            </w:pPr>
            <w:r>
              <w:rPr>
                <w:rFonts w:eastAsia="Calibri"/>
              </w:rPr>
              <w:t>The formulation is s</w:t>
            </w:r>
            <w:r w:rsidR="000B5D37">
              <w:rPr>
                <w:rFonts w:eastAsia="Calibri"/>
              </w:rPr>
              <w:t>table when stored in HPDE containers at 54 ± 2</w:t>
            </w:r>
            <w:r w:rsidR="00D238B4">
              <w:rPr>
                <w:rFonts w:eastAsia="Calibri"/>
              </w:rPr>
              <w:t xml:space="preserve"> </w:t>
            </w:r>
            <w:r w:rsidR="000B5D37">
              <w:rPr>
                <w:rFonts w:eastAsia="Calibri"/>
              </w:rPr>
              <w:t>°C for 14 days</w:t>
            </w:r>
            <w:r w:rsidR="0000502D">
              <w:rPr>
                <w:rFonts w:eastAsia="Calibri"/>
              </w:rPr>
              <w:t>.</w:t>
            </w:r>
            <w:r>
              <w:rPr>
                <w:rFonts w:eastAsia="Calibri"/>
              </w:rPr>
              <w:t xml:space="preserve"> </w:t>
            </w:r>
          </w:p>
          <w:p w14:paraId="26BB2A03" w14:textId="77777777" w:rsidR="0000502D" w:rsidRDefault="0000502D" w:rsidP="0000502D">
            <w:pPr>
              <w:rPr>
                <w:rFonts w:eastAsia="Calibri"/>
              </w:rPr>
            </w:pPr>
          </w:p>
          <w:p w14:paraId="7547888F" w14:textId="77777777" w:rsidR="0000502D" w:rsidRDefault="0000502D" w:rsidP="0000502D">
            <w:pPr>
              <w:rPr>
                <w:rFonts w:eastAsia="Calibri"/>
              </w:rPr>
            </w:pPr>
            <w:proofErr w:type="spellStart"/>
            <w:r>
              <w:rPr>
                <w:rFonts w:eastAsia="Calibri"/>
              </w:rPr>
              <w:t>A.s.</w:t>
            </w:r>
            <w:proofErr w:type="spellEnd"/>
            <w:r>
              <w:rPr>
                <w:rFonts w:eastAsia="Calibri"/>
              </w:rPr>
              <w:t xml:space="preserve"> content</w:t>
            </w:r>
          </w:p>
          <w:p w14:paraId="544EBD20" w14:textId="77777777" w:rsidR="0000502D" w:rsidRDefault="0000502D" w:rsidP="0000502D">
            <w:pPr>
              <w:rPr>
                <w:rFonts w:eastAsia="Calibri"/>
              </w:rPr>
            </w:pPr>
            <w:r>
              <w:rPr>
                <w:rFonts w:eastAsia="Calibri"/>
              </w:rPr>
              <w:t>(HPLC-UV, validated):</w:t>
            </w:r>
          </w:p>
          <w:p w14:paraId="6BBA531B" w14:textId="77777777" w:rsidR="0000502D" w:rsidRDefault="0000502D" w:rsidP="0000502D">
            <w:pPr>
              <w:rPr>
                <w:rFonts w:eastAsia="Calibri"/>
              </w:rPr>
            </w:pPr>
            <w:r>
              <w:rPr>
                <w:rFonts w:eastAsia="Calibri"/>
              </w:rPr>
              <w:t>Initial: 99.52%</w:t>
            </w:r>
          </w:p>
          <w:p w14:paraId="661334E2" w14:textId="77777777" w:rsidR="0000502D" w:rsidRDefault="0000502D" w:rsidP="0000502D">
            <w:pPr>
              <w:rPr>
                <w:rFonts w:eastAsia="Calibri"/>
              </w:rPr>
            </w:pPr>
            <w:r>
              <w:rPr>
                <w:rFonts w:eastAsia="Calibri"/>
              </w:rPr>
              <w:t>2w: 102.2%</w:t>
            </w:r>
          </w:p>
          <w:p w14:paraId="09E0A888" w14:textId="77777777" w:rsidR="0000502D" w:rsidRDefault="0000502D" w:rsidP="0000502D">
            <w:pPr>
              <w:rPr>
                <w:rFonts w:eastAsia="Calibri"/>
              </w:rPr>
            </w:pPr>
          </w:p>
          <w:p w14:paraId="0AAE2880" w14:textId="77777777" w:rsidR="00645781" w:rsidRDefault="0000502D" w:rsidP="00D238B4">
            <w:pPr>
              <w:rPr>
                <w:rFonts w:eastAsia="Calibri"/>
              </w:rPr>
            </w:pPr>
            <w:r>
              <w:rPr>
                <w:rFonts w:eastAsia="Calibri"/>
              </w:rPr>
              <w:t>No physical changes observed (white, granular and no odour). No changes observed in the HDPE packaging.</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5467BA" w14:textId="77777777" w:rsidR="00CF59EF" w:rsidRDefault="000B5D37">
            <w:pPr>
              <w:rPr>
                <w:rFonts w:eastAsia="Calibri"/>
              </w:rPr>
            </w:pPr>
            <w:r>
              <w:rPr>
                <w:rFonts w:eastAsia="Calibri"/>
              </w:rPr>
              <w:t>Ref no.</w:t>
            </w:r>
          </w:p>
          <w:p w14:paraId="7F1C315E" w14:textId="77777777" w:rsidR="00CF59EF" w:rsidRDefault="000B5D37">
            <w:pPr>
              <w:rPr>
                <w:rFonts w:eastAsia="Calibri"/>
              </w:rPr>
            </w:pPr>
            <w:r>
              <w:rPr>
                <w:rFonts w:eastAsia="Calibri"/>
              </w:rPr>
              <w:t>2.2.2-</w:t>
            </w:r>
            <w:r w:rsidR="000826D3">
              <w:rPr>
                <w:rFonts w:eastAsia="Calibri"/>
              </w:rPr>
              <w:t>0</w:t>
            </w:r>
            <w:r>
              <w:rPr>
                <w:rFonts w:eastAsia="Calibri"/>
              </w:rPr>
              <w:t>2</w:t>
            </w:r>
          </w:p>
          <w:p w14:paraId="779EEB71"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316C15" w14:paraId="1C5C9F6B"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4C0CAC" w14:textId="77777777" w:rsidR="00316C15" w:rsidRDefault="00316C15">
            <w:pPr>
              <w:rPr>
                <w:rFonts w:eastAsia="Calibri"/>
              </w:rPr>
            </w:pPr>
            <w:r>
              <w:rPr>
                <w:rFonts w:eastAsia="Calibri"/>
              </w:rPr>
              <w:t xml:space="preserve">Storage stability test – </w:t>
            </w:r>
            <w:r>
              <w:rPr>
                <w:rFonts w:eastAsia="Calibri"/>
                <w:b/>
              </w:rPr>
              <w:t>accelerated storage</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8F1C05" w14:textId="77777777" w:rsidR="00316C15" w:rsidRDefault="00316C15">
            <w:pPr>
              <w:rPr>
                <w:rFonts w:eastAsia="Calibri"/>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32B744" w14:textId="77777777" w:rsidR="00F15049" w:rsidRDefault="00F15049" w:rsidP="00F15049">
            <w:pPr>
              <w:rPr>
                <w:rFonts w:eastAsia="Calibri"/>
              </w:rPr>
            </w:pPr>
            <w:r>
              <w:rPr>
                <w:rFonts w:eastAsia="Calibri"/>
              </w:rPr>
              <w:t>Sodium benzoate</w:t>
            </w:r>
          </w:p>
          <w:p w14:paraId="40ADA889" w14:textId="77777777" w:rsidR="00F15049" w:rsidRDefault="00F15049" w:rsidP="00F15049">
            <w:pPr>
              <w:rPr>
                <w:rFonts w:eastAsia="Calibri"/>
              </w:rPr>
            </w:pPr>
            <w:r>
              <w:rPr>
                <w:rFonts w:eastAsia="Calibri"/>
              </w:rPr>
              <w:t>&gt;99.9%</w:t>
            </w:r>
          </w:p>
          <w:p w14:paraId="61275AEC" w14:textId="77777777" w:rsidR="00316C15" w:rsidRDefault="00316C15">
            <w:pPr>
              <w:rPr>
                <w:rFonts w:cs="TimesNewRomanPSMT"/>
                <w:lang w:val="en-US" w:eastAsia="en-US"/>
              </w:rPr>
            </w:pPr>
          </w:p>
          <w:p w14:paraId="3DD7F0B1" w14:textId="77777777" w:rsidR="00F15049" w:rsidRPr="00316C15" w:rsidRDefault="00F15049">
            <w:pPr>
              <w:rPr>
                <w:rFonts w:cs="TimesNewRomanPSMT"/>
                <w:lang w:val="en-US" w:eastAsia="en-US"/>
              </w:rPr>
            </w:pPr>
            <w:r>
              <w:rPr>
                <w:rFonts w:cs="TimesNewRomanPSMT"/>
                <w:lang w:val="en-US" w:eastAsia="en-US"/>
              </w:rPr>
              <w:lastRenderedPageBreak/>
              <w:t>Batches 1828, 1829</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3991CA" w14:textId="77777777" w:rsidR="00316C15" w:rsidRDefault="00F15049" w:rsidP="00645781">
            <w:pPr>
              <w:rPr>
                <w:rFonts w:eastAsia="Calibri"/>
              </w:rPr>
            </w:pPr>
            <w:r>
              <w:rPr>
                <w:rFonts w:eastAsia="Calibri"/>
              </w:rPr>
              <w:lastRenderedPageBreak/>
              <w:t>The formulation was stable for 14 days at 54 °C while stored in a glass jar.</w:t>
            </w:r>
          </w:p>
          <w:p w14:paraId="5B9AC3E7" w14:textId="77777777" w:rsidR="00F15049" w:rsidRDefault="00F15049" w:rsidP="00645781">
            <w:pPr>
              <w:rPr>
                <w:rFonts w:eastAsia="Calibri"/>
              </w:rPr>
            </w:pPr>
          </w:p>
          <w:p w14:paraId="5B5A66BC" w14:textId="77777777" w:rsidR="00F15049" w:rsidRDefault="00F15049" w:rsidP="00645781">
            <w:pPr>
              <w:rPr>
                <w:rFonts w:eastAsia="Calibri"/>
              </w:rPr>
            </w:pPr>
            <w:r>
              <w:rPr>
                <w:rFonts w:eastAsia="Calibri"/>
              </w:rPr>
              <w:t xml:space="preserve">Content of </w:t>
            </w:r>
            <w:proofErr w:type="spellStart"/>
            <w:r>
              <w:rPr>
                <w:rFonts w:eastAsia="Calibri"/>
              </w:rPr>
              <w:t>a.s.</w:t>
            </w:r>
            <w:proofErr w:type="spellEnd"/>
            <w:r>
              <w:rPr>
                <w:rFonts w:eastAsia="Calibri"/>
              </w:rPr>
              <w:t>: before storage: 100 % for both batches</w:t>
            </w:r>
          </w:p>
          <w:p w14:paraId="362410C4" w14:textId="77777777" w:rsidR="00F15049" w:rsidRDefault="00F15049" w:rsidP="00645781">
            <w:pPr>
              <w:rPr>
                <w:rFonts w:eastAsia="Calibri"/>
              </w:rPr>
            </w:pPr>
            <w:r>
              <w:rPr>
                <w:rFonts w:eastAsia="Calibri"/>
              </w:rPr>
              <w:t>after storage: 100% for both batches</w:t>
            </w:r>
          </w:p>
          <w:p w14:paraId="20A3FA35" w14:textId="77777777" w:rsidR="00F15049" w:rsidRDefault="00F15049" w:rsidP="00645781">
            <w:pPr>
              <w:rPr>
                <w:rFonts w:eastAsia="Calibri"/>
              </w:rPr>
            </w:pPr>
          </w:p>
          <w:p w14:paraId="4DC29646" w14:textId="77777777" w:rsidR="00F15049" w:rsidRDefault="00F15049" w:rsidP="00645781">
            <w:pPr>
              <w:rPr>
                <w:rFonts w:eastAsia="Calibri"/>
              </w:rPr>
            </w:pPr>
            <w:r>
              <w:rPr>
                <w:rFonts w:eastAsia="Calibri"/>
              </w:rPr>
              <w:t xml:space="preserve">pH 10% water solution: </w:t>
            </w:r>
          </w:p>
          <w:p w14:paraId="3D0BDF29" w14:textId="77777777" w:rsidR="00F15049" w:rsidRDefault="00F15049" w:rsidP="00645781">
            <w:pPr>
              <w:rPr>
                <w:rFonts w:eastAsia="Calibri"/>
              </w:rPr>
            </w:pPr>
            <w:r>
              <w:rPr>
                <w:rFonts w:eastAsia="Calibri"/>
              </w:rPr>
              <w:t>batch 1828: before and after 9.5</w:t>
            </w:r>
          </w:p>
          <w:p w14:paraId="0B7CF8AC" w14:textId="77777777" w:rsidR="00F15049" w:rsidRDefault="00F15049" w:rsidP="00645781">
            <w:pPr>
              <w:rPr>
                <w:rFonts w:eastAsia="Calibri"/>
              </w:rPr>
            </w:pPr>
            <w:r>
              <w:rPr>
                <w:rFonts w:eastAsia="Calibri"/>
              </w:rPr>
              <w:t>batch 1829: before and after 9.2</w:t>
            </w:r>
          </w:p>
          <w:p w14:paraId="545C8A9E" w14:textId="77777777" w:rsidR="00F15049" w:rsidRDefault="00F15049" w:rsidP="00645781">
            <w:pPr>
              <w:rPr>
                <w:rFonts w:eastAsia="Calibri"/>
              </w:rPr>
            </w:pPr>
          </w:p>
          <w:p w14:paraId="7D3EA8B6" w14:textId="77777777" w:rsidR="00F15049" w:rsidRDefault="00F15049" w:rsidP="00645781">
            <w:pPr>
              <w:rPr>
                <w:rFonts w:eastAsia="Calibri"/>
              </w:rPr>
            </w:pPr>
            <w:r>
              <w:rPr>
                <w:rFonts w:eastAsia="Calibri"/>
              </w:rPr>
              <w:t>Colour and clarity were determined and no significant changes were observed.</w:t>
            </w:r>
          </w:p>
          <w:p w14:paraId="67DB3BBC" w14:textId="77777777" w:rsidR="00F15049" w:rsidRDefault="00F15049" w:rsidP="00645781">
            <w:pPr>
              <w:rPr>
                <w:rFonts w:eastAsia="Calibri"/>
              </w:rPr>
            </w:pPr>
          </w:p>
          <w:p w14:paraId="608F919B" w14:textId="77777777" w:rsidR="001E7462" w:rsidRPr="00DA5A47" w:rsidRDefault="00F15049" w:rsidP="001E7462">
            <w:pPr>
              <w:rPr>
                <w:rFonts w:eastAsia="Calibri"/>
                <w:lang w:val="en-US"/>
              </w:rPr>
            </w:pPr>
            <w:r>
              <w:rPr>
                <w:rFonts w:eastAsia="Calibri"/>
              </w:rPr>
              <w:t xml:space="preserve">Particle size distribution was determined: </w:t>
            </w:r>
            <w:r w:rsidR="001E7462" w:rsidRPr="00DA5A47">
              <w:rPr>
                <w:rFonts w:eastAsia="Calibri"/>
                <w:lang w:val="en-US"/>
              </w:rPr>
              <w:t xml:space="preserve">Particle size distribution was determined: </w:t>
            </w:r>
          </w:p>
          <w:p w14:paraId="7ED1E03D" w14:textId="77777777" w:rsidR="001E7462" w:rsidRPr="00DA5A47" w:rsidRDefault="001E7462" w:rsidP="001E7462">
            <w:pPr>
              <w:rPr>
                <w:rFonts w:eastAsia="Calibri"/>
                <w:lang w:val="en-US"/>
              </w:rPr>
            </w:pPr>
            <w:r w:rsidRPr="00DA5A47">
              <w:rPr>
                <w:rFonts w:eastAsia="Calibri"/>
                <w:lang w:val="en-US"/>
              </w:rPr>
              <w:t xml:space="preserve">batch 1828: </w:t>
            </w:r>
          </w:p>
          <w:p w14:paraId="54948ACE" w14:textId="77777777" w:rsidR="001E7462" w:rsidRPr="00DA5A47" w:rsidRDefault="001E7462" w:rsidP="001E7462">
            <w:pPr>
              <w:rPr>
                <w:rFonts w:cs="Tahoma"/>
                <w:lang w:val="en-US"/>
              </w:rPr>
            </w:pPr>
            <w:r w:rsidRPr="00DA5A47">
              <w:rPr>
                <w:rFonts w:eastAsia="Calibri"/>
                <w:lang w:val="en-US"/>
              </w:rPr>
              <w:t xml:space="preserve">- before storage: </w:t>
            </w:r>
            <w:r w:rsidRPr="00DA5A47">
              <w:rPr>
                <w:rFonts w:cs="Tahoma"/>
                <w:lang w:val="en-US"/>
              </w:rPr>
              <w:t>the size of particles below 0.850 mm was 87.2 % and bellow 2.36 mm was 12.7 %</w:t>
            </w:r>
          </w:p>
          <w:p w14:paraId="619DEA68" w14:textId="77777777" w:rsidR="001E7462" w:rsidRPr="00DA5A47" w:rsidRDefault="001E7462" w:rsidP="001E7462">
            <w:pPr>
              <w:rPr>
                <w:rFonts w:cs="Tahoma"/>
                <w:lang w:val="en-US"/>
              </w:rPr>
            </w:pPr>
            <w:r w:rsidRPr="00DA5A47">
              <w:rPr>
                <w:rFonts w:cs="Tahoma"/>
                <w:lang w:val="en-US"/>
              </w:rPr>
              <w:t>- after storage: the size of particles below 0.850 mm was 86.5 % and bellow 2.36 mm was 13.5 %</w:t>
            </w:r>
          </w:p>
          <w:p w14:paraId="0236955D" w14:textId="77777777" w:rsidR="001E7462" w:rsidRPr="00DA5A47" w:rsidRDefault="001E7462" w:rsidP="001E7462">
            <w:pPr>
              <w:rPr>
                <w:rFonts w:eastAsia="Calibri"/>
                <w:lang w:val="en-US"/>
              </w:rPr>
            </w:pPr>
            <w:r w:rsidRPr="00DA5A47">
              <w:rPr>
                <w:rFonts w:eastAsia="Calibri"/>
                <w:lang w:val="en-US"/>
              </w:rPr>
              <w:t>batch 1829:</w:t>
            </w:r>
          </w:p>
          <w:p w14:paraId="030CD4C0" w14:textId="77777777" w:rsidR="001E7462" w:rsidRPr="00DA5A47" w:rsidRDefault="001E7462" w:rsidP="001E7462">
            <w:pPr>
              <w:rPr>
                <w:rFonts w:cs="Tahoma"/>
                <w:lang w:val="en-US"/>
              </w:rPr>
            </w:pPr>
            <w:r w:rsidRPr="00DA5A47">
              <w:rPr>
                <w:rFonts w:eastAsia="Calibri"/>
                <w:lang w:val="en-US"/>
              </w:rPr>
              <w:t xml:space="preserve">- before storage: </w:t>
            </w:r>
            <w:r w:rsidRPr="00DA5A47">
              <w:rPr>
                <w:rFonts w:cs="Tahoma"/>
                <w:lang w:val="en-US"/>
              </w:rPr>
              <w:t xml:space="preserve">the </w:t>
            </w:r>
            <w:r w:rsidRPr="00DA5A47">
              <w:rPr>
                <w:rFonts w:cs="Tahoma"/>
                <w:lang w:val="en-US"/>
              </w:rPr>
              <w:lastRenderedPageBreak/>
              <w:t>size of particles below 0.850 mm was 86.2 % and bellow 2.36 mm was 13.7 %</w:t>
            </w:r>
          </w:p>
          <w:p w14:paraId="1E4A7391" w14:textId="77777777" w:rsidR="00715C5B" w:rsidRDefault="001E7462" w:rsidP="00F15049">
            <w:pPr>
              <w:rPr>
                <w:rFonts w:eastAsia="Calibri"/>
              </w:rPr>
            </w:pPr>
            <w:r w:rsidRPr="00DA5A47">
              <w:rPr>
                <w:rFonts w:cs="Tahoma"/>
                <w:lang w:val="en-US"/>
              </w:rPr>
              <w:t>- after storage: the size of particles below 0.850 mm was 84.8% and bellow 2.36 mm was 15.3 %</w:t>
            </w:r>
            <w:r w:rsidR="00F42893">
              <w:rPr>
                <w:rFonts w:cs="Tahoma"/>
                <w:lang w:val="en-US"/>
              </w:rPr>
              <w:t xml:space="preserve">. </w:t>
            </w:r>
            <w:r w:rsidR="00715C5B">
              <w:rPr>
                <w:rFonts w:eastAsia="Calibri"/>
              </w:rPr>
              <w:t>No significant changes observed after storage.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40336D" w14:textId="77777777" w:rsidR="00715C5B" w:rsidRDefault="00715C5B" w:rsidP="00715C5B">
            <w:pPr>
              <w:rPr>
                <w:rFonts w:eastAsia="Calibri"/>
              </w:rPr>
            </w:pPr>
            <w:r>
              <w:rPr>
                <w:rFonts w:eastAsia="Calibri"/>
              </w:rPr>
              <w:lastRenderedPageBreak/>
              <w:t>Ref no.</w:t>
            </w:r>
          </w:p>
          <w:p w14:paraId="1F019FD0" w14:textId="77777777" w:rsidR="00316C15" w:rsidRDefault="00715C5B" w:rsidP="00715C5B">
            <w:pPr>
              <w:rPr>
                <w:rFonts w:eastAsia="Calibri"/>
              </w:rPr>
            </w:pPr>
            <w:r>
              <w:rPr>
                <w:rFonts w:eastAsia="Calibri"/>
              </w:rPr>
              <w:t>2.2.2-0</w:t>
            </w:r>
            <w:r w:rsidR="006D2428">
              <w:rPr>
                <w:rFonts w:eastAsia="Calibri"/>
              </w:rPr>
              <w:t>4</w:t>
            </w:r>
            <w:r>
              <w:rPr>
                <w:rFonts w:eastAsia="Calibri"/>
              </w:rPr>
              <w:t xml:space="preserve"> (</w:t>
            </w:r>
            <w:proofErr w:type="spellStart"/>
            <w:r w:rsidR="002F4C58" w:rsidRPr="002F4C58">
              <w:rPr>
                <w:rFonts w:eastAsia="Calibri"/>
                <w:highlight w:val="black"/>
              </w:rPr>
              <w:t>xxxxx</w:t>
            </w:r>
            <w:proofErr w:type="spellEnd"/>
            <w:r>
              <w:rPr>
                <w:rFonts w:eastAsia="Calibri"/>
              </w:rPr>
              <w:t>)</w:t>
            </w:r>
          </w:p>
        </w:tc>
      </w:tr>
      <w:tr w:rsidR="00224331" w14:paraId="25BAAA40"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5C8FD5" w14:textId="77777777" w:rsidR="00CF59EF" w:rsidRDefault="000B5D37">
            <w:pPr>
              <w:rPr>
                <w:rFonts w:eastAsia="Calibri"/>
              </w:rPr>
            </w:pPr>
            <w:r>
              <w:rPr>
                <w:rFonts w:eastAsia="Calibri"/>
              </w:rPr>
              <w:lastRenderedPageBreak/>
              <w:t xml:space="preserve">Storage stability test – </w:t>
            </w:r>
            <w:r>
              <w:rPr>
                <w:rFonts w:eastAsia="Calibri"/>
                <w:b/>
              </w:rPr>
              <w:t>long term storage at ambient temperature</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06AE8E" w14:textId="77777777" w:rsidR="00CF59EF" w:rsidRDefault="000B5D37">
            <w:pPr>
              <w:rPr>
                <w:rFonts w:eastAsia="Calibri"/>
              </w:rPr>
            </w:pPr>
            <w:r>
              <w:rPr>
                <w:rFonts w:eastAsia="Calibri"/>
              </w:rPr>
              <w:t>Not indicated (similar to GIFAP 17 procedure, 2009)</w:t>
            </w:r>
          </w:p>
          <w:p w14:paraId="55633EB3" w14:textId="77777777" w:rsidR="00CF59EF" w:rsidRDefault="00CF59EF">
            <w:pPr>
              <w:rPr>
                <w:rFonts w:eastAsia="Calibri"/>
              </w:rPr>
            </w:pPr>
          </w:p>
          <w:p w14:paraId="5B692CF3" w14:textId="77777777" w:rsidR="00CF59EF" w:rsidRDefault="00CF59EF">
            <w:pPr>
              <w:rPr>
                <w:rFonts w:eastAsia="Calibri"/>
              </w:rPr>
            </w:pPr>
          </w:p>
          <w:p w14:paraId="6CEE418A" w14:textId="77777777" w:rsidR="00CF59EF" w:rsidRDefault="00CF59EF">
            <w:pPr>
              <w:rPr>
                <w:rFonts w:eastAsia="Calibri"/>
              </w:rPr>
            </w:pPr>
          </w:p>
          <w:p w14:paraId="0B552E1E" w14:textId="77777777" w:rsidR="00CF59EF" w:rsidRDefault="00CF59EF">
            <w:pPr>
              <w:rPr>
                <w:rFonts w:eastAsia="Calibri"/>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D6E66D" w14:textId="77777777" w:rsidR="00DA7978" w:rsidRDefault="00DA7978">
            <w:pPr>
              <w:rPr>
                <w:rFonts w:eastAsia="Calibri"/>
              </w:rPr>
            </w:pPr>
            <w:r>
              <w:rPr>
                <w:rFonts w:eastAsia="Calibri"/>
              </w:rPr>
              <w:t>Sodium benzoate</w:t>
            </w:r>
          </w:p>
          <w:p w14:paraId="1852BFE9" w14:textId="77777777" w:rsidR="00CF59EF" w:rsidRDefault="00DA7978">
            <w:pPr>
              <w:rPr>
                <w:rFonts w:eastAsia="Calibri"/>
              </w:rPr>
            </w:pPr>
            <w:r>
              <w:rPr>
                <w:rFonts w:eastAsia="Calibri"/>
              </w:rPr>
              <w:t>&gt;</w:t>
            </w:r>
            <w:r w:rsidR="000B5D37">
              <w:rPr>
                <w:rFonts w:eastAsia="Calibri"/>
              </w:rPr>
              <w:t>99.9%</w:t>
            </w:r>
          </w:p>
          <w:p w14:paraId="39991F18" w14:textId="77777777" w:rsidR="00CF59EF" w:rsidRDefault="00CF59EF">
            <w:pPr>
              <w:rPr>
                <w:rFonts w:eastAsia="Calibri"/>
              </w:rPr>
            </w:pPr>
          </w:p>
          <w:p w14:paraId="424AA034" w14:textId="77777777" w:rsidR="00CF59EF" w:rsidRDefault="000B5D37">
            <w:pPr>
              <w:rPr>
                <w:rFonts w:eastAsia="Calibri"/>
              </w:rPr>
            </w:pPr>
            <w:r>
              <w:rPr>
                <w:rFonts w:eastAsia="Calibri"/>
              </w:rPr>
              <w:t>Batches 1103, 1118, 1141</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F0C57B" w14:textId="77777777" w:rsidR="00CF59EF" w:rsidRDefault="00B4554E">
            <w:pPr>
              <w:rPr>
                <w:rFonts w:eastAsia="Calibri"/>
              </w:rPr>
            </w:pPr>
            <w:r>
              <w:rPr>
                <w:rFonts w:eastAsia="Calibri"/>
              </w:rPr>
              <w:t xml:space="preserve">The formulation is stable under laboratory conditions (21 °C and dry) </w:t>
            </w:r>
            <w:r w:rsidR="000B5D37">
              <w:rPr>
                <w:rFonts w:eastAsia="Calibri"/>
              </w:rPr>
              <w:t xml:space="preserve">for 4 years in </w:t>
            </w:r>
            <w:r>
              <w:rPr>
                <w:rFonts w:eastAsia="Calibri"/>
              </w:rPr>
              <w:t>1L</w:t>
            </w:r>
            <w:r w:rsidR="000B5D37">
              <w:rPr>
                <w:rFonts w:eastAsia="Calibri"/>
              </w:rPr>
              <w:t xml:space="preserve"> </w:t>
            </w:r>
            <w:r>
              <w:rPr>
                <w:rFonts w:eastAsia="Calibri"/>
              </w:rPr>
              <w:t xml:space="preserve">(HDPE) </w:t>
            </w:r>
            <w:r w:rsidR="000B5D37">
              <w:rPr>
                <w:rFonts w:eastAsia="Calibri"/>
              </w:rPr>
              <w:t>jar</w:t>
            </w:r>
            <w:r>
              <w:rPr>
                <w:rFonts w:eastAsia="Calibri"/>
              </w:rPr>
              <w:t xml:space="preserve">, </w:t>
            </w:r>
            <w:r w:rsidR="009E5AE8">
              <w:rPr>
                <w:rFonts w:eastAsia="Calibri"/>
              </w:rPr>
              <w:t>white coloured, non-transparent</w:t>
            </w:r>
            <w:r w:rsidR="000B5D37">
              <w:rPr>
                <w:rFonts w:eastAsia="Calibri"/>
              </w:rPr>
              <w:t>.</w:t>
            </w:r>
          </w:p>
          <w:p w14:paraId="06D4CA51" w14:textId="77777777" w:rsidR="00CF59EF" w:rsidRDefault="00CF59EF">
            <w:pPr>
              <w:rPr>
                <w:rFonts w:eastAsia="Calibri"/>
              </w:rPr>
            </w:pPr>
          </w:p>
          <w:p w14:paraId="2C62359B" w14:textId="77777777" w:rsidR="00CF59EF" w:rsidRDefault="00B4554E">
            <w:pPr>
              <w:rPr>
                <w:rFonts w:eastAsia="Calibri"/>
              </w:rPr>
            </w:pPr>
            <w:r>
              <w:rPr>
                <w:rFonts w:eastAsia="Calibri"/>
              </w:rPr>
              <w:t>The c</w:t>
            </w:r>
            <w:r w:rsidR="000B5D37">
              <w:rPr>
                <w:rFonts w:eastAsia="Calibri"/>
              </w:rPr>
              <w:t xml:space="preserve">ontent of </w:t>
            </w:r>
            <w:proofErr w:type="spellStart"/>
            <w:r w:rsidR="000B5D37">
              <w:rPr>
                <w:rFonts w:eastAsia="Calibri"/>
              </w:rPr>
              <w:t>a.s.</w:t>
            </w:r>
            <w:proofErr w:type="spellEnd"/>
            <w:r w:rsidR="0000502D">
              <w:rPr>
                <w:rFonts w:eastAsia="Calibri"/>
              </w:rPr>
              <w:t xml:space="preserve"> (HPLC-UV, validated)</w:t>
            </w:r>
            <w:r w:rsidR="000B5D37">
              <w:rPr>
                <w:rFonts w:eastAsia="Calibri"/>
              </w:rPr>
              <w:t xml:space="preserve"> determined in </w:t>
            </w:r>
            <w:r>
              <w:rPr>
                <w:rFonts w:eastAsia="Calibri"/>
              </w:rPr>
              <w:t xml:space="preserve">the </w:t>
            </w:r>
            <w:r w:rsidR="000B5D37">
              <w:rPr>
                <w:rFonts w:eastAsia="Calibri"/>
              </w:rPr>
              <w:t xml:space="preserve">three batches  </w:t>
            </w:r>
            <w:r>
              <w:rPr>
                <w:rFonts w:eastAsia="Calibri"/>
              </w:rPr>
              <w:t xml:space="preserve">before and after storage is  </w:t>
            </w:r>
            <w:r w:rsidR="000B5D37">
              <w:rPr>
                <w:rFonts w:eastAsia="Calibri"/>
              </w:rPr>
              <w:t>99.99</w:t>
            </w:r>
            <w:r>
              <w:rPr>
                <w:rFonts w:eastAsia="Calibri"/>
              </w:rPr>
              <w:t xml:space="preserve"> </w:t>
            </w:r>
            <w:r w:rsidR="000B5D37">
              <w:rPr>
                <w:rFonts w:eastAsia="Calibri"/>
              </w:rPr>
              <w:t>%.</w:t>
            </w:r>
          </w:p>
          <w:p w14:paraId="4EAF4D48" w14:textId="77777777" w:rsidR="0000502D" w:rsidRDefault="0000502D"/>
          <w:p w14:paraId="3634920F" w14:textId="77777777" w:rsidR="00CF59EF" w:rsidRDefault="000B5D37">
            <w:pPr>
              <w:rPr>
                <w:lang w:val="en-US"/>
              </w:rPr>
            </w:pPr>
            <w:r>
              <w:rPr>
                <w:lang w:val="en-US"/>
              </w:rPr>
              <w:t xml:space="preserve">Both </w:t>
            </w:r>
            <w:proofErr w:type="spellStart"/>
            <w:r>
              <w:rPr>
                <w:lang w:val="en-US"/>
              </w:rPr>
              <w:t>colour</w:t>
            </w:r>
            <w:proofErr w:type="spellEnd"/>
            <w:r>
              <w:rPr>
                <w:lang w:val="en-US"/>
              </w:rPr>
              <w:t xml:space="preserve"> and clarity of the product are  not deteriorated. </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D40731" w14:textId="77777777" w:rsidR="00CF59EF" w:rsidRDefault="000B5D37">
            <w:pPr>
              <w:rPr>
                <w:rFonts w:eastAsia="Calibri"/>
              </w:rPr>
            </w:pPr>
            <w:r>
              <w:rPr>
                <w:rFonts w:eastAsia="Calibri"/>
              </w:rPr>
              <w:t>Ref no</w:t>
            </w:r>
          </w:p>
          <w:p w14:paraId="7624B00D" w14:textId="77777777" w:rsidR="00CF59EF" w:rsidRDefault="000B5D37">
            <w:pPr>
              <w:rPr>
                <w:rFonts w:eastAsia="Calibri"/>
              </w:rPr>
            </w:pPr>
            <w:r>
              <w:rPr>
                <w:rFonts w:eastAsia="Calibri"/>
              </w:rPr>
              <w:t>2.2.2-0</w:t>
            </w:r>
            <w:r w:rsidR="006D2428">
              <w:rPr>
                <w:rFonts w:eastAsia="Calibri"/>
              </w:rPr>
              <w:t>5</w:t>
            </w:r>
          </w:p>
          <w:p w14:paraId="7882C6F9"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4C184028" w14:textId="77777777" w:rsidR="00CF59EF" w:rsidRDefault="00CF59EF">
            <w:pPr>
              <w:rPr>
                <w:rFonts w:eastAsia="Calibri"/>
              </w:rPr>
            </w:pPr>
          </w:p>
          <w:p w14:paraId="5962288E" w14:textId="77777777" w:rsidR="00CF59EF" w:rsidRDefault="00CF59EF">
            <w:pPr>
              <w:rPr>
                <w:rFonts w:eastAsia="Calibri"/>
              </w:rPr>
            </w:pPr>
          </w:p>
        </w:tc>
      </w:tr>
      <w:tr w:rsidR="00224331" w14:paraId="08D8AF48"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222ADA" w14:textId="77777777" w:rsidR="00CF59EF" w:rsidRDefault="000B5D37">
            <w:pPr>
              <w:rPr>
                <w:rFonts w:eastAsia="Calibri"/>
              </w:rPr>
            </w:pPr>
            <w:r>
              <w:rPr>
                <w:rFonts w:eastAsia="Calibri"/>
              </w:rPr>
              <w:t xml:space="preserve">Storage stability test – </w:t>
            </w:r>
            <w:r>
              <w:rPr>
                <w:rFonts w:eastAsia="Calibri"/>
                <w:b/>
              </w:rPr>
              <w:t>long term storage at ambient temperature</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D29942" w14:textId="77777777" w:rsidR="00CF59EF" w:rsidRDefault="000B5D37">
            <w:pPr>
              <w:rPr>
                <w:rFonts w:eastAsia="Calibri"/>
              </w:rPr>
            </w:pPr>
            <w:r>
              <w:rPr>
                <w:rFonts w:eastAsia="Calibri"/>
              </w:rPr>
              <w:t>Not indicated, (</w:t>
            </w:r>
            <w:proofErr w:type="spellStart"/>
            <w:r>
              <w:rPr>
                <w:rFonts w:eastAsia="Calibri"/>
              </w:rPr>
              <w:t>silimar</w:t>
            </w:r>
            <w:proofErr w:type="spellEnd"/>
            <w:r>
              <w:rPr>
                <w:rFonts w:eastAsia="Calibri"/>
              </w:rPr>
              <w:t xml:space="preserve"> to GIFAP 17 procedure,  (2009)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4E24F6" w14:textId="77777777"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14:paraId="6CECBCBE" w14:textId="77777777" w:rsidR="00CF59EF" w:rsidRDefault="00CF59EF">
            <w:pPr>
              <w:rPr>
                <w:rFonts w:eastAsia="Calibri"/>
              </w:rPr>
            </w:pPr>
          </w:p>
          <w:p w14:paraId="5111BAE3" w14:textId="77777777" w:rsidR="00CF59EF" w:rsidRDefault="000B5D37">
            <w:pPr>
              <w:rPr>
                <w:rFonts w:eastAsia="Calibri"/>
              </w:rPr>
            </w:pPr>
            <w:r>
              <w:rPr>
                <w:rFonts w:eastAsia="Calibri"/>
              </w:rPr>
              <w:t>Batch 1607</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3B65AA" w14:textId="6F7B99D7" w:rsidR="00107103" w:rsidRDefault="001C1AB4" w:rsidP="00107103">
            <w:pPr>
              <w:rPr>
                <w:rFonts w:eastAsia="Calibri"/>
              </w:rPr>
            </w:pPr>
            <w:r>
              <w:rPr>
                <w:rFonts w:eastAsia="Calibri"/>
              </w:rPr>
              <w:t>Tested during 3 years in</w:t>
            </w:r>
            <w:r w:rsidR="000B5D37">
              <w:rPr>
                <w:rFonts w:eastAsia="Calibri"/>
              </w:rPr>
              <w:t xml:space="preserve"> </w:t>
            </w:r>
            <w:r w:rsidR="0027413A">
              <w:rPr>
                <w:rFonts w:eastAsia="Calibri"/>
              </w:rPr>
              <w:t xml:space="preserve">25 kg </w:t>
            </w:r>
            <w:r w:rsidR="000B5D37">
              <w:rPr>
                <w:rFonts w:eastAsia="Calibri"/>
              </w:rPr>
              <w:t xml:space="preserve">PE bags) under warehouse conditions (ambient temperature and dry) </w:t>
            </w:r>
          </w:p>
          <w:p w14:paraId="71B8045F" w14:textId="5F8A3C40" w:rsidR="0000502D" w:rsidRDefault="0000502D" w:rsidP="00107103">
            <w:pPr>
              <w:rPr>
                <w:rFonts w:eastAsia="Calibri"/>
              </w:rPr>
            </w:pPr>
          </w:p>
          <w:p w14:paraId="55364B2D" w14:textId="40997CA6" w:rsidR="001C1AB4" w:rsidRDefault="001C1AB4" w:rsidP="00107103">
            <w:pPr>
              <w:rPr>
                <w:rFonts w:eastAsia="Calibri"/>
              </w:rPr>
            </w:pPr>
            <w:r>
              <w:rPr>
                <w:rFonts w:eastAsia="Calibri"/>
              </w:rPr>
              <w:t>Active substance content before and after storage:</w:t>
            </w:r>
          </w:p>
          <w:p w14:paraId="5B4FD25B" w14:textId="13EEB789" w:rsidR="001C1AB4" w:rsidRDefault="001C1AB4" w:rsidP="00107103">
            <w:pPr>
              <w:rPr>
                <w:rFonts w:eastAsia="Calibri"/>
              </w:rPr>
            </w:pPr>
            <w:r>
              <w:rPr>
                <w:rFonts w:eastAsia="Calibri"/>
              </w:rPr>
              <w:t xml:space="preserve">100.0% </w:t>
            </w:r>
            <w:r w:rsidR="004A6584">
              <w:rPr>
                <w:rFonts w:eastAsia="Calibri"/>
              </w:rPr>
              <w:t>w/w (HPLC-UV, validated)</w:t>
            </w:r>
          </w:p>
          <w:p w14:paraId="4803B891" w14:textId="51CC7C8C" w:rsidR="004A6584" w:rsidRDefault="004A6584" w:rsidP="00107103">
            <w:pPr>
              <w:rPr>
                <w:rFonts w:eastAsia="Calibri"/>
              </w:rPr>
            </w:pPr>
          </w:p>
          <w:p w14:paraId="2CD2F9F3" w14:textId="7D716D4B" w:rsidR="004A6584" w:rsidRDefault="004A6584" w:rsidP="00107103">
            <w:pPr>
              <w:rPr>
                <w:rFonts w:eastAsia="Calibri"/>
              </w:rPr>
            </w:pPr>
            <w:r>
              <w:rPr>
                <w:rFonts w:eastAsia="Calibri"/>
              </w:rPr>
              <w:t>Appearance before and after storage:</w:t>
            </w:r>
          </w:p>
          <w:p w14:paraId="037ADB06" w14:textId="29AFA181" w:rsidR="004A6584" w:rsidRDefault="004A6584" w:rsidP="00107103">
            <w:pPr>
              <w:rPr>
                <w:rFonts w:eastAsia="Calibri"/>
              </w:rPr>
            </w:pPr>
            <w:r>
              <w:rPr>
                <w:rFonts w:eastAsia="Calibri"/>
              </w:rPr>
              <w:t>White crystalline solid</w:t>
            </w:r>
          </w:p>
          <w:p w14:paraId="51D3993B" w14:textId="3DAA59F1" w:rsidR="004A6584" w:rsidRDefault="004A6584" w:rsidP="00107103">
            <w:pPr>
              <w:rPr>
                <w:rFonts w:eastAsia="Calibri"/>
              </w:rPr>
            </w:pPr>
          </w:p>
          <w:p w14:paraId="3956EAE0" w14:textId="6B651B04" w:rsidR="004A6584" w:rsidRDefault="004A6584" w:rsidP="00107103">
            <w:pPr>
              <w:rPr>
                <w:rFonts w:eastAsia="Calibri"/>
              </w:rPr>
            </w:pPr>
            <w:r>
              <w:rPr>
                <w:rFonts w:eastAsia="Calibri"/>
              </w:rPr>
              <w:t>pH 1%</w:t>
            </w:r>
            <w:r w:rsidR="000A3DC1">
              <w:rPr>
                <w:rFonts w:eastAsia="Calibri"/>
              </w:rPr>
              <w:t>:</w:t>
            </w:r>
          </w:p>
          <w:p w14:paraId="4B494B1E" w14:textId="1FD7EEE4" w:rsidR="004A6584" w:rsidRDefault="000A3DC1" w:rsidP="00107103">
            <w:pPr>
              <w:rPr>
                <w:rFonts w:eastAsia="Calibri"/>
              </w:rPr>
            </w:pPr>
            <w:r>
              <w:rPr>
                <w:rFonts w:eastAsia="Calibri"/>
              </w:rPr>
              <w:t>B</w:t>
            </w:r>
            <w:r w:rsidR="004A6584">
              <w:rPr>
                <w:rFonts w:eastAsia="Calibri"/>
              </w:rPr>
              <w:t>efore storage: 8.6</w:t>
            </w:r>
          </w:p>
          <w:p w14:paraId="7C75B310" w14:textId="70EDBC7E" w:rsidR="004A6584" w:rsidRDefault="000A3DC1" w:rsidP="00107103">
            <w:pPr>
              <w:rPr>
                <w:rFonts w:eastAsia="Calibri"/>
              </w:rPr>
            </w:pPr>
            <w:r>
              <w:rPr>
                <w:rFonts w:eastAsia="Calibri"/>
              </w:rPr>
              <w:t>A</w:t>
            </w:r>
            <w:r w:rsidR="004A6584">
              <w:rPr>
                <w:rFonts w:eastAsia="Calibri"/>
              </w:rPr>
              <w:t>fter storage: 8.5</w:t>
            </w:r>
          </w:p>
          <w:p w14:paraId="03B4BEEF" w14:textId="480D93A1" w:rsidR="004A6584" w:rsidRDefault="004A6584" w:rsidP="00107103">
            <w:pPr>
              <w:rPr>
                <w:rFonts w:eastAsia="Calibri"/>
              </w:rPr>
            </w:pPr>
          </w:p>
          <w:p w14:paraId="4BE55D8B" w14:textId="56D8D4BF" w:rsidR="004A6584" w:rsidRDefault="004A6584" w:rsidP="00107103">
            <w:pPr>
              <w:rPr>
                <w:rFonts w:eastAsia="Calibri"/>
              </w:rPr>
            </w:pPr>
            <w:r>
              <w:rPr>
                <w:rFonts w:eastAsia="Calibri"/>
              </w:rPr>
              <w:t>Particle size distribution:</w:t>
            </w:r>
          </w:p>
          <w:p w14:paraId="57668FF5" w14:textId="65E074E2" w:rsidR="004A6584" w:rsidRDefault="004A6584" w:rsidP="00107103">
            <w:pPr>
              <w:rPr>
                <w:rFonts w:eastAsia="Calibri"/>
              </w:rPr>
            </w:pPr>
            <w:r>
              <w:rPr>
                <w:rFonts w:eastAsia="Calibri"/>
              </w:rPr>
              <w:t>Before storage:</w:t>
            </w:r>
          </w:p>
          <w:p w14:paraId="6EF0E3A8" w14:textId="6F73F3DD" w:rsidR="000A3DC1" w:rsidRDefault="000A3DC1" w:rsidP="00107103">
            <w:pPr>
              <w:rPr>
                <w:rFonts w:eastAsia="Calibri"/>
              </w:rPr>
            </w:pPr>
            <w:r>
              <w:rPr>
                <w:rFonts w:eastAsia="Calibri"/>
              </w:rPr>
              <w:t>89.5% between 0.180-2.36 mm</w:t>
            </w:r>
          </w:p>
          <w:p w14:paraId="53A90AB4" w14:textId="4E5F4E42" w:rsidR="000A3DC1" w:rsidRDefault="000A3DC1" w:rsidP="00107103">
            <w:pPr>
              <w:rPr>
                <w:rFonts w:eastAsia="Calibri"/>
              </w:rPr>
            </w:pPr>
            <w:r>
              <w:rPr>
                <w:rFonts w:eastAsia="Calibri"/>
              </w:rPr>
              <w:t>2.9%&lt;0.125 mm</w:t>
            </w:r>
          </w:p>
          <w:p w14:paraId="0F2C51A5" w14:textId="394A2640" w:rsidR="000A3DC1" w:rsidRDefault="000A3DC1" w:rsidP="00107103">
            <w:pPr>
              <w:rPr>
                <w:rFonts w:eastAsia="Calibri"/>
              </w:rPr>
            </w:pPr>
            <w:r>
              <w:rPr>
                <w:rFonts w:eastAsia="Calibri"/>
              </w:rPr>
              <w:t>After storage: 85.8% between 0.180-2.36 mm</w:t>
            </w:r>
          </w:p>
          <w:p w14:paraId="52F0234F" w14:textId="6CAA2AC8" w:rsidR="000A3DC1" w:rsidRDefault="000A3DC1" w:rsidP="00107103">
            <w:pPr>
              <w:rPr>
                <w:rFonts w:eastAsia="Calibri"/>
              </w:rPr>
            </w:pPr>
            <w:r>
              <w:rPr>
                <w:rFonts w:eastAsia="Calibri"/>
              </w:rPr>
              <w:t>4.2%&lt;0.125 mm</w:t>
            </w:r>
          </w:p>
          <w:p w14:paraId="3C5D1F43" w14:textId="77777777" w:rsidR="000A3DC1" w:rsidRDefault="000A3DC1" w:rsidP="00107103">
            <w:pPr>
              <w:rPr>
                <w:rFonts w:eastAsia="Calibri"/>
              </w:rPr>
            </w:pPr>
          </w:p>
          <w:p w14:paraId="1B08E069" w14:textId="77777777" w:rsidR="0000502D" w:rsidRDefault="0000502D" w:rsidP="00107103">
            <w:pPr>
              <w:rPr>
                <w:rFonts w:eastAsia="Calibri"/>
              </w:rPr>
            </w:pPr>
          </w:p>
          <w:p w14:paraId="5064764D" w14:textId="4F2D4B08" w:rsidR="00CF59EF" w:rsidRDefault="004A6584" w:rsidP="00107103">
            <w:pPr>
              <w:rPr>
                <w:lang w:val="en-US"/>
              </w:rPr>
            </w:pPr>
            <w:r>
              <w:rPr>
                <w:lang w:val="en-US"/>
              </w:rPr>
              <w:t>During the study the product was stacked and stored in 25 kg bags to include the effect of stacking. Results are considered acceptable.</w:t>
            </w:r>
          </w:p>
          <w:p w14:paraId="68257E4C" w14:textId="77777777" w:rsidR="004C122A" w:rsidRDefault="004C122A" w:rsidP="00107103">
            <w:pPr>
              <w:rPr>
                <w:rFonts w:eastAsia="Calibri"/>
              </w:rPr>
            </w:pPr>
          </w:p>
          <w:p w14:paraId="0D248035" w14:textId="77777777" w:rsidR="004C122A" w:rsidRDefault="004C122A" w:rsidP="00107103">
            <w:pPr>
              <w:rPr>
                <w:rFonts w:eastAsia="Calibri"/>
              </w:rPr>
            </w:pPr>
            <w:r>
              <w:rPr>
                <w:rFonts w:eastAsia="Calibri"/>
              </w:rPr>
              <w:lastRenderedPageBreak/>
              <w:t xml:space="preserve">The product is </w:t>
            </w:r>
            <w:r w:rsidR="00B03748">
              <w:rPr>
                <w:rFonts w:eastAsia="Calibri"/>
              </w:rPr>
              <w:t>packed</w:t>
            </w:r>
            <w:r>
              <w:rPr>
                <w:rFonts w:eastAsia="Calibri"/>
              </w:rPr>
              <w:t xml:space="preserve"> in PE bags as well as PP bags. The shelf life study only include</w:t>
            </w:r>
            <w:r w:rsidR="00B03748">
              <w:rPr>
                <w:rFonts w:eastAsia="Calibri"/>
              </w:rPr>
              <w:t>s</w:t>
            </w:r>
            <w:r>
              <w:rPr>
                <w:rFonts w:eastAsia="Calibri"/>
              </w:rPr>
              <w:t xml:space="preserve"> the PE bags. These are the most flexible bags and therefore results can be extrapolated to the PP packaging material. (PP </w:t>
            </w:r>
            <w:r w:rsidRPr="004C122A">
              <w:rPr>
                <w:rFonts w:eastAsia="Calibri"/>
              </w:rPr>
              <w:t xml:space="preserve">big bag fabric 700 N/mm2 is more rigid and less flexible compared to </w:t>
            </w:r>
            <w:r>
              <w:rPr>
                <w:rFonts w:eastAsia="Calibri"/>
              </w:rPr>
              <w:t>PE</w:t>
            </w:r>
            <w:r w:rsidRPr="004C122A">
              <w:rPr>
                <w:rFonts w:eastAsia="Calibri"/>
              </w:rPr>
              <w:t xml:space="preserve"> 25kg bags foil 250 N/mm2</w:t>
            </w:r>
            <w:r>
              <w:rPr>
                <w:rFonts w:eastAsia="Calibri"/>
              </w:rPr>
              <w:t>)</w:t>
            </w:r>
          </w:p>
          <w:p w14:paraId="494807A7" w14:textId="77777777" w:rsidR="00B03748" w:rsidRDefault="00B03748" w:rsidP="00107103">
            <w:pPr>
              <w:rPr>
                <w:rFonts w:eastAsia="Calibri"/>
              </w:rPr>
            </w:pPr>
          </w:p>
          <w:p w14:paraId="3E95C9DA" w14:textId="079EAAC7" w:rsidR="00B03748" w:rsidRPr="00107103" w:rsidRDefault="00B03748" w:rsidP="00107103">
            <w:pPr>
              <w:rPr>
                <w:rFonts w:eastAsia="Calibri"/>
              </w:rPr>
            </w:pPr>
            <w:r>
              <w:rPr>
                <w:rFonts w:eastAsia="Calibri"/>
              </w:rPr>
              <w:t>A shelf life of 3 years is supported.</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6D8265" w14:textId="77777777" w:rsidR="00CF59EF" w:rsidRDefault="000B5D37">
            <w:pPr>
              <w:rPr>
                <w:rFonts w:eastAsia="Calibri"/>
              </w:rPr>
            </w:pPr>
            <w:r>
              <w:rPr>
                <w:rFonts w:eastAsia="Calibri"/>
              </w:rPr>
              <w:lastRenderedPageBreak/>
              <w:t>Ref no</w:t>
            </w:r>
          </w:p>
          <w:p w14:paraId="6B301A21" w14:textId="77777777" w:rsidR="00CF59EF" w:rsidRDefault="000B5D37">
            <w:pPr>
              <w:rPr>
                <w:rFonts w:eastAsia="Calibri"/>
              </w:rPr>
            </w:pPr>
            <w:r>
              <w:rPr>
                <w:rFonts w:eastAsia="Calibri"/>
              </w:rPr>
              <w:t>2.2.2-0</w:t>
            </w:r>
            <w:r w:rsidR="006D2428">
              <w:rPr>
                <w:rFonts w:eastAsia="Calibri"/>
              </w:rPr>
              <w:t>6</w:t>
            </w:r>
          </w:p>
          <w:p w14:paraId="2F676218"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2C2B012C" w14:textId="77777777" w:rsidR="00CF59EF" w:rsidRDefault="00CF59EF">
            <w:pPr>
              <w:rPr>
                <w:rFonts w:eastAsia="Calibri"/>
              </w:rPr>
            </w:pPr>
          </w:p>
        </w:tc>
      </w:tr>
      <w:tr w:rsidR="00224331" w14:paraId="7FB8DD70"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013B7" w14:textId="77777777" w:rsidR="00CF59EF" w:rsidRDefault="000B5D37">
            <w:pPr>
              <w:rPr>
                <w:rFonts w:eastAsia="Calibri"/>
              </w:rPr>
            </w:pPr>
            <w:r>
              <w:rPr>
                <w:rFonts w:eastAsia="Calibri"/>
              </w:rPr>
              <w:lastRenderedPageBreak/>
              <w:t xml:space="preserve">Storage stability test – </w:t>
            </w:r>
            <w:r>
              <w:rPr>
                <w:rFonts w:eastAsia="Calibri"/>
                <w:b/>
              </w:rPr>
              <w:t>low temperature stability test for liquids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91314A"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1CCD9B"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089877" w14:textId="77777777" w:rsidR="00CF59EF" w:rsidRDefault="000B5D37">
            <w:pPr>
              <w:rPr>
                <w:rFonts w:eastAsia="Calibri"/>
              </w:rPr>
            </w:pPr>
            <w:r>
              <w:rPr>
                <w:rFonts w:eastAsia="Calibri"/>
              </w:rPr>
              <w:t>Not relevant for solids.</w:t>
            </w:r>
          </w:p>
          <w:p w14:paraId="6FCDC8F2" w14:textId="77777777" w:rsidR="00CF59EF" w:rsidRDefault="00CF59EF">
            <w:pPr>
              <w:rPr>
                <w:rFonts w:eastAsia="Calibri"/>
              </w:rPr>
            </w:pPr>
          </w:p>
          <w:p w14:paraId="44A2E333" w14:textId="77777777" w:rsidR="00CF59EF" w:rsidRDefault="00CF59EF">
            <w:pPr>
              <w:rPr>
                <w:rFonts w:eastAsia="Calibri"/>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F2FBF6" w14:textId="77777777" w:rsidR="00CF59EF" w:rsidRDefault="000B5D37">
            <w:pPr>
              <w:rPr>
                <w:rFonts w:eastAsia="Calibri"/>
              </w:rPr>
            </w:pPr>
            <w:r>
              <w:rPr>
                <w:rFonts w:eastAsia="Calibri"/>
              </w:rPr>
              <w:t>-</w:t>
            </w:r>
          </w:p>
        </w:tc>
      </w:tr>
      <w:tr w:rsidR="00224331" w14:paraId="7EE6F46B"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14000E" w14:textId="77777777" w:rsidR="00CF59EF" w:rsidRDefault="000B5D37">
            <w:pPr>
              <w:rPr>
                <w:rFonts w:eastAsia="Calibri"/>
                <w:lang w:eastAsia="en-US"/>
              </w:rPr>
            </w:pPr>
            <w:r>
              <w:rPr>
                <w:rFonts w:eastAsia="Calibri"/>
                <w:lang w:eastAsia="en-US"/>
              </w:rPr>
              <w:t xml:space="preserve">Effects on content of the active substance and technical characteristics of the biocidal product – </w:t>
            </w:r>
            <w:r>
              <w:rPr>
                <w:rFonts w:eastAsia="Calibri"/>
                <w:b/>
                <w:lang w:eastAsia="en-US"/>
              </w:rPr>
              <w:t>light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53085C" w14:textId="77777777" w:rsidR="00CF59EF" w:rsidRDefault="000B5D37">
            <w:pPr>
              <w:spacing w:line="260" w:lineRule="atLeast"/>
              <w:rPr>
                <w:rFonts w:eastAsia="Calibri"/>
                <w:lang w:eastAsia="en-US"/>
              </w:rPr>
            </w:pPr>
            <w:r>
              <w:rPr>
                <w:rFonts w:eastAsia="Calibri"/>
                <w:lang w:eastAsia="en-US"/>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745ADD" w14:textId="77777777" w:rsidR="00CF59EF" w:rsidRDefault="000B5D37">
            <w:pPr>
              <w:spacing w:line="260" w:lineRule="atLeast"/>
              <w:rPr>
                <w:rFonts w:eastAsia="Calibri"/>
                <w:lang w:eastAsia="en-US"/>
              </w:rPr>
            </w:pPr>
            <w:r>
              <w:rPr>
                <w:rFonts w:eastAsia="Calibri"/>
                <w:lang w:eastAsia="en-US"/>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CE6E8F" w14:textId="77777777" w:rsidR="00CF59EF" w:rsidRDefault="000B5D37">
            <w:pPr>
              <w:spacing w:line="260" w:lineRule="atLeast"/>
              <w:rPr>
                <w:rFonts w:eastAsia="Calibri"/>
                <w:lang w:eastAsia="en-US"/>
              </w:rPr>
            </w:pPr>
            <w:r>
              <w:rPr>
                <w:rFonts w:eastAsia="Calibri"/>
                <w:lang w:eastAsia="en-US"/>
              </w:rPr>
              <w:t>Reference is made to the storage stability test.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74261D" w14:textId="77777777" w:rsidR="00CF59EF" w:rsidRDefault="000B5D37">
            <w:pPr>
              <w:spacing w:line="260" w:lineRule="atLeast"/>
              <w:rPr>
                <w:rFonts w:eastAsia="Calibri"/>
                <w:lang w:eastAsia="en-US"/>
              </w:rPr>
            </w:pPr>
            <w:r>
              <w:rPr>
                <w:rFonts w:eastAsia="Calibri"/>
                <w:lang w:eastAsia="en-US"/>
              </w:rPr>
              <w:t>-</w:t>
            </w:r>
          </w:p>
        </w:tc>
      </w:tr>
      <w:tr w:rsidR="00224331" w14:paraId="3EA65648"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3BB92C" w14:textId="77777777" w:rsidR="00CF59EF" w:rsidRDefault="000B5D37">
            <w:pPr>
              <w:rPr>
                <w:rFonts w:eastAsia="Calibri"/>
              </w:rPr>
            </w:pPr>
            <w:r>
              <w:rPr>
                <w:rFonts w:eastAsia="Calibri"/>
              </w:rPr>
              <w:t xml:space="preserve">Effects on content of the active substance and technical characteristics of the biocidal product – </w:t>
            </w:r>
            <w:r>
              <w:rPr>
                <w:rFonts w:eastAsia="Calibri"/>
                <w:b/>
              </w:rPr>
              <w:t>temperature and humidity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3BBECC"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139504"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488C7F" w14:textId="77777777" w:rsidR="00CF59EF" w:rsidRDefault="0000502D">
            <w:pPr>
              <w:rPr>
                <w:rFonts w:eastAsia="Calibri"/>
              </w:rPr>
            </w:pPr>
            <w:r>
              <w:rPr>
                <w:rFonts w:eastAsia="Calibri"/>
              </w:rPr>
              <w:t>Humidity was not specifically addressed. The active substance / product is not prone to hydrolysis.</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42E05E" w14:textId="77777777" w:rsidR="00CF59EF" w:rsidRDefault="000B5D37">
            <w:pPr>
              <w:rPr>
                <w:rFonts w:eastAsia="Calibri"/>
              </w:rPr>
            </w:pPr>
            <w:r>
              <w:rPr>
                <w:rFonts w:eastAsia="Calibri"/>
              </w:rPr>
              <w:t>-</w:t>
            </w:r>
          </w:p>
        </w:tc>
      </w:tr>
      <w:tr w:rsidR="00224331" w14:paraId="784E74ED"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48E3B9" w14:textId="77777777" w:rsidR="00CF59EF" w:rsidRDefault="000B5D37">
            <w:pPr>
              <w:rPr>
                <w:rFonts w:eastAsia="Calibri"/>
              </w:rPr>
            </w:pPr>
            <w:r>
              <w:rPr>
                <w:rFonts w:eastAsia="Calibri"/>
              </w:rPr>
              <w:t xml:space="preserve">Effects on content of the active substance and technical characteristics of the biocidal product - </w:t>
            </w:r>
            <w:r>
              <w:rPr>
                <w:rFonts w:eastAsia="Calibri"/>
                <w:b/>
              </w:rPr>
              <w:t>reactivity towards container material</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54E256"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7BC493"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1123F" w14:textId="77777777" w:rsidR="00CF59EF" w:rsidRDefault="0000502D">
            <w:pPr>
              <w:rPr>
                <w:rFonts w:eastAsia="Calibri"/>
              </w:rPr>
            </w:pPr>
            <w:r>
              <w:rPr>
                <w:rFonts w:eastAsia="Calibri"/>
              </w:rPr>
              <w:t>Please refer to the storage stability conclusions.</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95C25E" w14:textId="77777777" w:rsidR="00CF59EF" w:rsidRDefault="000B5D37">
            <w:pPr>
              <w:rPr>
                <w:rFonts w:eastAsia="Calibri"/>
              </w:rPr>
            </w:pPr>
            <w:r>
              <w:rPr>
                <w:rFonts w:eastAsia="Calibri"/>
              </w:rPr>
              <w:t>-</w:t>
            </w:r>
          </w:p>
        </w:tc>
      </w:tr>
      <w:tr w:rsidR="00224331" w14:paraId="032BD8B6"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E88DB3" w14:textId="77777777" w:rsidR="00CF59EF" w:rsidRDefault="000B5D37">
            <w:pPr>
              <w:rPr>
                <w:rFonts w:eastAsia="Calibri"/>
              </w:rPr>
            </w:pPr>
            <w:r>
              <w:rPr>
                <w:rFonts w:eastAsia="Calibri"/>
              </w:rPr>
              <w:lastRenderedPageBreak/>
              <w:t>Wettability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90F18F"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8FB339"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DB54FF" w14:textId="77777777" w:rsidR="00CF59EF" w:rsidRDefault="000B5D37">
            <w:pPr>
              <w:rPr>
                <w:rFonts w:eastAsia="Calibri"/>
              </w:rPr>
            </w:pPr>
            <w:r>
              <w:rPr>
                <w:rFonts w:eastAsia="Calibri"/>
              </w:rPr>
              <w:t>Not applicable, during use the product is not dispersed in water.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587275" w14:textId="77777777" w:rsidR="00CF59EF" w:rsidRDefault="000B5D37">
            <w:pPr>
              <w:rPr>
                <w:rFonts w:eastAsia="Calibri"/>
              </w:rPr>
            </w:pPr>
            <w:r>
              <w:rPr>
                <w:rFonts w:eastAsia="Calibri"/>
              </w:rPr>
              <w:t>-</w:t>
            </w:r>
          </w:p>
        </w:tc>
      </w:tr>
      <w:tr w:rsidR="00224331" w14:paraId="23BD8493"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25684D" w14:textId="77777777" w:rsidR="00CF59EF" w:rsidRDefault="000B5D37">
            <w:pPr>
              <w:rPr>
                <w:rFonts w:eastAsia="Calibri"/>
              </w:rPr>
            </w:pPr>
            <w:proofErr w:type="spellStart"/>
            <w:r>
              <w:rPr>
                <w:rFonts w:eastAsia="Calibri"/>
              </w:rPr>
              <w:t>Suspensibility</w:t>
            </w:r>
            <w:proofErr w:type="spellEnd"/>
            <w:r>
              <w:rPr>
                <w:rFonts w:eastAsia="Calibri"/>
              </w:rPr>
              <w:t>, spontaneity and dispersion stability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1F35ED"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64C1C7"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6AD2BA" w14:textId="77777777" w:rsidR="00CF59EF" w:rsidRDefault="000B5D37">
            <w:pPr>
              <w:rPr>
                <w:rFonts w:eastAsia="Calibri"/>
              </w:rPr>
            </w:pPr>
            <w:r>
              <w:rPr>
                <w:rFonts w:eastAsia="Calibri"/>
              </w:rPr>
              <w:t>Not applicable, during use the product is not diluted in water.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22DE79" w14:textId="77777777" w:rsidR="00CF59EF" w:rsidRDefault="000B5D37">
            <w:pPr>
              <w:rPr>
                <w:rFonts w:eastAsia="Calibri"/>
              </w:rPr>
            </w:pPr>
            <w:r>
              <w:rPr>
                <w:rFonts w:eastAsia="Calibri"/>
              </w:rPr>
              <w:t>-</w:t>
            </w:r>
          </w:p>
        </w:tc>
      </w:tr>
      <w:tr w:rsidR="00224331" w14:paraId="51B1F3E0"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93D338" w14:textId="77777777" w:rsidR="00CF59EF" w:rsidRDefault="000B5D37">
            <w:pPr>
              <w:rPr>
                <w:rFonts w:eastAsia="Calibri"/>
              </w:rPr>
            </w:pPr>
            <w:r>
              <w:rPr>
                <w:rFonts w:eastAsia="Calibri"/>
              </w:rPr>
              <w:t>Wet sieve analysis and dry sieve test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1AE0B1"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2A9582"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B66056" w14:textId="77777777" w:rsidR="00CF59EF" w:rsidRDefault="000B5D37">
            <w:pPr>
              <w:rPr>
                <w:rFonts w:eastAsia="Calibri"/>
              </w:rPr>
            </w:pPr>
            <w:r>
              <w:rPr>
                <w:rFonts w:eastAsia="Calibri"/>
              </w:rPr>
              <w:t>Wet sieve test: Not applicable, during use the product is not diluted with water.</w:t>
            </w:r>
          </w:p>
          <w:p w14:paraId="2F9AA15A" w14:textId="77777777" w:rsidR="00CF59EF" w:rsidRDefault="00CF59EF">
            <w:pPr>
              <w:rPr>
                <w:rFonts w:eastAsia="Calibri"/>
              </w:rPr>
            </w:pPr>
          </w:p>
          <w:p w14:paraId="5A2CD8EE" w14:textId="77777777" w:rsidR="00CF59EF" w:rsidRDefault="000B5D37">
            <w:pPr>
              <w:rPr>
                <w:rFonts w:eastAsia="Calibri"/>
              </w:rPr>
            </w:pPr>
            <w:r>
              <w:rPr>
                <w:rFonts w:eastAsia="Calibri"/>
              </w:rPr>
              <w:t>Dry sieve test:</w:t>
            </w:r>
          </w:p>
          <w:p w14:paraId="058AF722" w14:textId="77777777" w:rsidR="00CF59EF" w:rsidRDefault="000B5D37">
            <w:pPr>
              <w:rPr>
                <w:rFonts w:eastAsia="Calibri"/>
                <w:lang w:val="en-US"/>
              </w:rPr>
            </w:pPr>
            <w:r>
              <w:rPr>
                <w:rFonts w:eastAsia="Calibri"/>
                <w:lang w:val="en-US"/>
              </w:rPr>
              <w:t>Refer to particle size distribution test.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379091" w14:textId="77777777" w:rsidR="00CF59EF" w:rsidRDefault="000B5D37">
            <w:pPr>
              <w:rPr>
                <w:rFonts w:eastAsia="Calibri"/>
              </w:rPr>
            </w:pPr>
            <w:r>
              <w:rPr>
                <w:rFonts w:eastAsia="Calibri"/>
              </w:rPr>
              <w:t>-</w:t>
            </w:r>
          </w:p>
        </w:tc>
      </w:tr>
      <w:tr w:rsidR="00224331" w14:paraId="280F78CD"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E5B31D" w14:textId="77777777" w:rsidR="00CF59EF" w:rsidRDefault="000B5D37">
            <w:pPr>
              <w:rPr>
                <w:rFonts w:eastAsia="Calibri"/>
              </w:rPr>
            </w:pPr>
            <w:proofErr w:type="spellStart"/>
            <w:r>
              <w:rPr>
                <w:rFonts w:eastAsia="Calibri"/>
              </w:rPr>
              <w:t>Emulsifiability</w:t>
            </w:r>
            <w:proofErr w:type="spellEnd"/>
            <w:r>
              <w:rPr>
                <w:rFonts w:eastAsia="Calibri"/>
              </w:rPr>
              <w:t>, re-</w:t>
            </w:r>
            <w:proofErr w:type="spellStart"/>
            <w:r>
              <w:rPr>
                <w:rFonts w:eastAsia="Calibri"/>
              </w:rPr>
              <w:t>emulsifiability</w:t>
            </w:r>
            <w:proofErr w:type="spellEnd"/>
            <w:r>
              <w:rPr>
                <w:rFonts w:eastAsia="Calibri"/>
              </w:rPr>
              <w:t xml:space="preserve"> and emulsion stability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15381A"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160BC0"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CD711B" w14:textId="77777777" w:rsidR="00CF59EF" w:rsidRDefault="000B5D37">
            <w:pPr>
              <w:rPr>
                <w:rFonts w:eastAsia="Calibri"/>
              </w:rPr>
            </w:pPr>
            <w:r>
              <w:rPr>
                <w:rFonts w:eastAsia="Calibri"/>
              </w:rPr>
              <w:t>Not applicable, during use the product is not diluted with water.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790706" w14:textId="77777777" w:rsidR="00CF59EF" w:rsidRDefault="000B5D37">
            <w:pPr>
              <w:rPr>
                <w:rFonts w:eastAsia="Calibri"/>
              </w:rPr>
            </w:pPr>
            <w:r>
              <w:rPr>
                <w:rFonts w:eastAsia="Calibri"/>
              </w:rPr>
              <w:t>-</w:t>
            </w:r>
          </w:p>
        </w:tc>
      </w:tr>
      <w:tr w:rsidR="00224331" w14:paraId="51CA3053"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9A219E" w14:textId="77777777" w:rsidR="00CF59EF" w:rsidRDefault="000B5D37">
            <w:pPr>
              <w:rPr>
                <w:rFonts w:eastAsia="Calibri"/>
              </w:rPr>
            </w:pPr>
            <w:r>
              <w:rPr>
                <w:rFonts w:eastAsia="Calibri"/>
              </w:rPr>
              <w:t>Disintegration time</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089FBC"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E4DA85"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9FF762" w14:textId="77777777" w:rsidR="00CF59EF" w:rsidRDefault="000B5D37">
            <w:pPr>
              <w:rPr>
                <w:rFonts w:eastAsia="Calibri"/>
              </w:rPr>
            </w:pPr>
            <w:r>
              <w:rPr>
                <w:rFonts w:eastAsia="Calibri"/>
              </w:rPr>
              <w:t>Not applicable, during use the product is not dissolved in a solvent.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E246FD" w14:textId="77777777" w:rsidR="00CF59EF" w:rsidRDefault="000B5D37">
            <w:pPr>
              <w:rPr>
                <w:rFonts w:eastAsia="Calibri"/>
              </w:rPr>
            </w:pPr>
            <w:r>
              <w:rPr>
                <w:rFonts w:eastAsia="Calibri"/>
              </w:rPr>
              <w:t>-</w:t>
            </w:r>
          </w:p>
        </w:tc>
      </w:tr>
      <w:tr w:rsidR="00224331" w14:paraId="1849C8D2"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ACC6E1" w14:textId="77777777" w:rsidR="00CF59EF" w:rsidRDefault="000B5D37">
            <w:pPr>
              <w:rPr>
                <w:rFonts w:eastAsia="Calibri"/>
              </w:rPr>
            </w:pPr>
            <w:r>
              <w:rPr>
                <w:rFonts w:eastAsia="Calibri"/>
              </w:rPr>
              <w:t>Particle size distribution, content of dust/fines, attrition, friability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5680B5" w14:textId="77777777" w:rsidR="00CF59EF" w:rsidRDefault="000B5D37">
            <w:pPr>
              <w:rPr>
                <w:rFonts w:eastAsia="Calibri"/>
              </w:rPr>
            </w:pPr>
            <w:r>
              <w:rPr>
                <w:rFonts w:eastAsia="Calibri"/>
              </w:rPr>
              <w:t>Not indicated</w:t>
            </w:r>
          </w:p>
          <w:p w14:paraId="28944080" w14:textId="77777777" w:rsidR="00CF59EF" w:rsidRDefault="00CF59EF">
            <w:pPr>
              <w:rPr>
                <w:rFonts w:eastAsia="Calibri"/>
              </w:rPr>
            </w:pPr>
          </w:p>
          <w:p w14:paraId="5A7B3070" w14:textId="77777777" w:rsidR="00CF59EF" w:rsidRDefault="000B5D37">
            <w:pPr>
              <w:rPr>
                <w:rFonts w:eastAsia="Calibri"/>
              </w:rPr>
            </w:pPr>
            <w:r>
              <w:rPr>
                <w:rFonts w:eastAsia="Calibri"/>
              </w:rPr>
              <w:t>Sieve analysis followed by gravimetric determination</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FE0C88" w14:textId="77777777" w:rsidR="00CF59EF" w:rsidRDefault="000B5D37">
            <w:pPr>
              <w:rPr>
                <w:rFonts w:eastAsia="Calibri"/>
              </w:rPr>
            </w:pPr>
            <w:r>
              <w:rPr>
                <w:rFonts w:eastAsia="Calibri"/>
              </w:rPr>
              <w:t xml:space="preserve">Not indicated </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33A110" w14:textId="77777777" w:rsidR="00CF59EF" w:rsidRDefault="000B5D37">
            <w:pPr>
              <w:rPr>
                <w:rFonts w:eastAsia="Calibri"/>
              </w:rPr>
            </w:pPr>
            <w:r>
              <w:rPr>
                <w:rFonts w:eastAsia="Calibri"/>
              </w:rPr>
              <w:t>Particle size distribution:</w:t>
            </w:r>
          </w:p>
          <w:p w14:paraId="02B6AC9F" w14:textId="77777777" w:rsidR="00CF59EF" w:rsidRDefault="00CF59EF">
            <w:pPr>
              <w:rPr>
                <w:rFonts w:eastAsia="Calibri"/>
              </w:rPr>
            </w:pPr>
          </w:p>
          <w:p w14:paraId="35090004" w14:textId="77777777" w:rsidR="00CF59EF" w:rsidRDefault="000B5D37">
            <w:pPr>
              <w:rPr>
                <w:rFonts w:eastAsia="Calibri"/>
              </w:rPr>
            </w:pPr>
            <w:r>
              <w:rPr>
                <w:rFonts w:eastAsia="Calibri"/>
              </w:rPr>
              <w:t xml:space="preserve">100% </w:t>
            </w:r>
            <w:r w:rsidR="0041218B">
              <w:rPr>
                <w:rFonts w:eastAsia="Calibri"/>
              </w:rPr>
              <w:t>&lt;</w:t>
            </w:r>
            <w:r w:rsidR="000E3A87">
              <w:rPr>
                <w:rFonts w:eastAsia="Calibri"/>
              </w:rPr>
              <w:t xml:space="preserve"> </w:t>
            </w:r>
            <w:r>
              <w:rPr>
                <w:rFonts w:eastAsia="Calibri"/>
              </w:rPr>
              <w:t>2.36 mm</w:t>
            </w:r>
          </w:p>
          <w:p w14:paraId="35527265" w14:textId="77777777" w:rsidR="00CF59EF" w:rsidRDefault="000B5D37">
            <w:pPr>
              <w:rPr>
                <w:rFonts w:eastAsia="Calibri"/>
              </w:rPr>
            </w:pPr>
            <w:r>
              <w:rPr>
                <w:rFonts w:eastAsia="Calibri"/>
              </w:rPr>
              <w:t>85% &lt; 0.85 mm</w:t>
            </w:r>
          </w:p>
          <w:p w14:paraId="36FB6E79" w14:textId="77777777" w:rsidR="00CF59EF" w:rsidRDefault="000B5D37">
            <w:pPr>
              <w:rPr>
                <w:rFonts w:eastAsia="Calibri"/>
              </w:rPr>
            </w:pPr>
            <w:r>
              <w:rPr>
                <w:rFonts w:eastAsia="Calibri"/>
              </w:rPr>
              <w:t>43% &lt; 0.43 mm</w:t>
            </w:r>
          </w:p>
          <w:p w14:paraId="66C9F35E" w14:textId="77777777" w:rsidR="00CF59EF" w:rsidRDefault="000B5D37">
            <w:pPr>
              <w:rPr>
                <w:rFonts w:eastAsia="Calibri"/>
              </w:rPr>
            </w:pPr>
            <w:r>
              <w:rPr>
                <w:rFonts w:eastAsia="Calibri"/>
              </w:rPr>
              <w:t>8% &lt; 0.21 mm</w:t>
            </w:r>
          </w:p>
          <w:p w14:paraId="6C8A4E10" w14:textId="77777777" w:rsidR="00CF59EF" w:rsidRDefault="000B5D37">
            <w:pPr>
              <w:rPr>
                <w:rFonts w:eastAsia="Calibri"/>
              </w:rPr>
            </w:pPr>
            <w:r>
              <w:rPr>
                <w:rFonts w:eastAsia="Calibri"/>
              </w:rPr>
              <w:t>5% &lt; 0.18 mm</w:t>
            </w:r>
          </w:p>
          <w:p w14:paraId="10E1B1C1" w14:textId="77777777" w:rsidR="00CF59EF" w:rsidRDefault="000B5D37">
            <w:pPr>
              <w:rPr>
                <w:lang w:val="en-US"/>
              </w:rPr>
            </w:pPr>
            <w:r>
              <w:rPr>
                <w:rFonts w:eastAsia="Calibri"/>
              </w:rPr>
              <w:t>1.4% &lt; 0.125 mm</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6CE8FE" w14:textId="77777777" w:rsidR="00CF59EF" w:rsidRDefault="000B5D37">
            <w:pPr>
              <w:rPr>
                <w:rFonts w:eastAsia="Calibri"/>
              </w:rPr>
            </w:pPr>
            <w:r>
              <w:rPr>
                <w:rFonts w:eastAsia="Calibri"/>
              </w:rPr>
              <w:t>Ref no.</w:t>
            </w:r>
          </w:p>
          <w:p w14:paraId="163334BD" w14:textId="77777777" w:rsidR="00CF59EF" w:rsidRDefault="000B5D37">
            <w:pPr>
              <w:rPr>
                <w:rFonts w:eastAsia="Calibri"/>
              </w:rPr>
            </w:pPr>
            <w:r>
              <w:rPr>
                <w:rFonts w:eastAsia="Calibri"/>
              </w:rPr>
              <w:t>2.2.2-0</w:t>
            </w:r>
            <w:r w:rsidR="006D2428">
              <w:rPr>
                <w:rFonts w:eastAsia="Calibri"/>
              </w:rPr>
              <w:t>7</w:t>
            </w:r>
          </w:p>
          <w:p w14:paraId="457AEFAE" w14:textId="77777777" w:rsidR="00CF59EF" w:rsidRDefault="000B5D37" w:rsidP="009E5AE8">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14:paraId="6871C27B" w14:textId="77777777" w:rsidTr="004C122A">
        <w:tc>
          <w:tcPr>
            <w:tcW w:w="941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A9D543" w14:textId="77777777" w:rsidR="00CF59EF" w:rsidRDefault="000B5D37">
            <w:pPr>
              <w:rPr>
                <w:rFonts w:eastAsia="Calibri"/>
                <w:b/>
              </w:rPr>
            </w:pPr>
            <w:proofErr w:type="spellStart"/>
            <w:r>
              <w:rPr>
                <w:rFonts w:eastAsia="Calibri"/>
                <w:b/>
              </w:rPr>
              <w:t>eCA</w:t>
            </w:r>
            <w:proofErr w:type="spellEnd"/>
            <w:r>
              <w:rPr>
                <w:rFonts w:eastAsia="Calibri"/>
                <w:b/>
              </w:rPr>
              <w:t xml:space="preserve"> remark</w:t>
            </w:r>
          </w:p>
          <w:p w14:paraId="4B67554A" w14:textId="77777777" w:rsidR="00CF59EF" w:rsidRDefault="000B5D37">
            <w:pPr>
              <w:rPr>
                <w:rFonts w:eastAsia="Calibri"/>
              </w:rPr>
            </w:pPr>
            <w:r>
              <w:rPr>
                <w:rFonts w:eastAsia="Calibri"/>
              </w:rPr>
              <w:t>Acceptable</w:t>
            </w:r>
          </w:p>
          <w:p w14:paraId="563FCB94" w14:textId="77777777" w:rsidR="00CF59EF" w:rsidRDefault="000B5D37" w:rsidP="0022047D">
            <w:pPr>
              <w:rPr>
                <w:rFonts w:eastAsia="Calibri"/>
              </w:rPr>
            </w:pPr>
            <w:r>
              <w:rPr>
                <w:rFonts w:eastAsia="Calibri"/>
              </w:rPr>
              <w:t xml:space="preserve">The particle size of the product is rather large for a powder. The study does not address the amount of particles below 50µm. However, considering the </w:t>
            </w:r>
            <w:r w:rsidR="0022047D">
              <w:rPr>
                <w:rFonts w:eastAsia="Calibri"/>
              </w:rPr>
              <w:t>human health</w:t>
            </w:r>
            <w:r>
              <w:rPr>
                <w:rFonts w:eastAsia="Calibri"/>
              </w:rPr>
              <w:t xml:space="preserve"> assessment was based on the assumption the substance is a dust</w:t>
            </w:r>
            <w:r w:rsidR="00896A83">
              <w:rPr>
                <w:rFonts w:eastAsia="Calibri"/>
              </w:rPr>
              <w:t>y powder</w:t>
            </w:r>
            <w:r>
              <w:rPr>
                <w:rFonts w:eastAsia="Calibri"/>
              </w:rPr>
              <w:t>, this information is not considered relevant.</w:t>
            </w:r>
          </w:p>
        </w:tc>
      </w:tr>
      <w:tr w:rsidR="00224331" w14:paraId="14F2D517"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3EE117" w14:textId="77777777" w:rsidR="00CF59EF" w:rsidRDefault="000B5D37">
            <w:pPr>
              <w:rPr>
                <w:rFonts w:eastAsia="Calibri"/>
              </w:rPr>
            </w:pPr>
            <w:r>
              <w:rPr>
                <w:rFonts w:eastAsia="Calibri"/>
              </w:rPr>
              <w:lastRenderedPageBreak/>
              <w:t>Persistent foaming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4E2B96"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EAF9A1"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774AAF" w14:textId="77777777" w:rsidR="00CF59EF" w:rsidRDefault="000B5D37">
            <w:pPr>
              <w:rPr>
                <w:rFonts w:eastAsia="Calibri"/>
              </w:rPr>
            </w:pPr>
            <w:r>
              <w:rPr>
                <w:rFonts w:eastAsia="Calibri"/>
              </w:rPr>
              <w:t xml:space="preserve">Not applicable. </w:t>
            </w:r>
          </w:p>
          <w:p w14:paraId="43791A6E" w14:textId="77777777" w:rsidR="00CF59EF" w:rsidRDefault="000B5D37">
            <w:pPr>
              <w:rPr>
                <w:rFonts w:eastAsia="Calibri"/>
              </w:rPr>
            </w:pPr>
            <w:r>
              <w:rPr>
                <w:rFonts w:eastAsia="Calibri"/>
              </w:rPr>
              <w:t xml:space="preserve">During use the product is not applied with water. </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F7B54C" w14:textId="77777777" w:rsidR="00CF59EF" w:rsidRDefault="000B5D37">
            <w:pPr>
              <w:rPr>
                <w:rFonts w:eastAsia="Calibri"/>
              </w:rPr>
            </w:pPr>
            <w:r>
              <w:rPr>
                <w:rFonts w:eastAsia="Calibri"/>
              </w:rPr>
              <w:t>-</w:t>
            </w:r>
          </w:p>
        </w:tc>
      </w:tr>
      <w:tr w:rsidR="00224331" w14:paraId="174BFC38"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E59AD6" w14:textId="77777777" w:rsidR="00CF59EF" w:rsidRDefault="000B5D37">
            <w:pPr>
              <w:rPr>
                <w:rFonts w:eastAsia="Calibri"/>
              </w:rPr>
            </w:pPr>
            <w:r>
              <w:rPr>
                <w:rFonts w:eastAsia="Calibri"/>
              </w:rPr>
              <w:t>Flowability/Pourability/</w:t>
            </w:r>
            <w:proofErr w:type="spellStart"/>
            <w:r>
              <w:rPr>
                <w:rFonts w:eastAsia="Calibri"/>
              </w:rPr>
              <w:t>Dustability</w:t>
            </w:r>
            <w:proofErr w:type="spellEnd"/>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1E884"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21BEC"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25EBE7" w14:textId="77777777" w:rsidR="00CF59EF" w:rsidRDefault="000B5D37" w:rsidP="00896A83">
            <w:pPr>
              <w:rPr>
                <w:rFonts w:eastAsia="Calibri"/>
              </w:rPr>
            </w:pPr>
            <w:r>
              <w:rPr>
                <w:rFonts w:eastAsia="Calibri"/>
              </w:rPr>
              <w:t>Not applicable</w:t>
            </w:r>
            <w:r w:rsidR="00896A83">
              <w:rPr>
                <w:rFonts w:eastAsia="Calibri"/>
              </w:rPr>
              <w: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D7B51D" w14:textId="77777777" w:rsidR="00CF59EF" w:rsidRDefault="000B5D37">
            <w:pPr>
              <w:rPr>
                <w:rFonts w:eastAsia="Calibri"/>
              </w:rPr>
            </w:pPr>
            <w:r>
              <w:rPr>
                <w:rFonts w:eastAsia="Calibri"/>
              </w:rPr>
              <w:t>-</w:t>
            </w:r>
          </w:p>
        </w:tc>
      </w:tr>
      <w:tr w:rsidR="00CF59EF" w14:paraId="5E64E5C3" w14:textId="77777777" w:rsidTr="004C122A">
        <w:tc>
          <w:tcPr>
            <w:tcW w:w="941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17AC49" w14:textId="77777777" w:rsidR="00CF59EF" w:rsidRDefault="000B5D37">
            <w:pPr>
              <w:rPr>
                <w:rFonts w:eastAsia="Calibri"/>
                <w:b/>
              </w:rPr>
            </w:pPr>
            <w:proofErr w:type="spellStart"/>
            <w:r>
              <w:rPr>
                <w:rFonts w:eastAsia="Calibri"/>
                <w:b/>
              </w:rPr>
              <w:t>eCA</w:t>
            </w:r>
            <w:proofErr w:type="spellEnd"/>
            <w:r>
              <w:rPr>
                <w:rFonts w:eastAsia="Calibri"/>
                <w:b/>
              </w:rPr>
              <w:t xml:space="preserve"> remark</w:t>
            </w:r>
          </w:p>
          <w:p w14:paraId="7C395258" w14:textId="77777777" w:rsidR="00CF59EF" w:rsidRDefault="000B5D37">
            <w:pPr>
              <w:rPr>
                <w:rFonts w:eastAsia="Calibri"/>
              </w:rPr>
            </w:pPr>
            <w:r>
              <w:rPr>
                <w:rFonts w:eastAsia="Calibri"/>
              </w:rPr>
              <w:t>Acceptable</w:t>
            </w:r>
          </w:p>
          <w:p w14:paraId="3E18F467" w14:textId="77777777" w:rsidR="00CF59EF" w:rsidRDefault="000B5D37" w:rsidP="00896A83">
            <w:pPr>
              <w:rPr>
                <w:rFonts w:eastAsia="Calibri"/>
              </w:rPr>
            </w:pPr>
            <w:r>
              <w:rPr>
                <w:rFonts w:eastAsia="Calibri"/>
              </w:rPr>
              <w:t xml:space="preserve">Although the </w:t>
            </w:r>
            <w:proofErr w:type="spellStart"/>
            <w:r>
              <w:rPr>
                <w:rFonts w:eastAsia="Calibri"/>
              </w:rPr>
              <w:t>eCA</w:t>
            </w:r>
            <w:proofErr w:type="spellEnd"/>
            <w:r>
              <w:rPr>
                <w:rFonts w:eastAsia="Calibri"/>
              </w:rPr>
              <w:t xml:space="preserve"> considers the product best represented by the product type DP (</w:t>
            </w:r>
            <w:proofErr w:type="spellStart"/>
            <w:r>
              <w:rPr>
                <w:rFonts w:eastAsia="Calibri"/>
              </w:rPr>
              <w:t>dustable</w:t>
            </w:r>
            <w:proofErr w:type="spellEnd"/>
            <w:r>
              <w:rPr>
                <w:rFonts w:eastAsia="Calibri"/>
              </w:rPr>
              <w:t xml:space="preserve"> powder), the product is not dusted </w:t>
            </w:r>
            <w:r w:rsidR="00896A83">
              <w:rPr>
                <w:rFonts w:eastAsia="Calibri"/>
              </w:rPr>
              <w:t xml:space="preserve">during </w:t>
            </w:r>
            <w:r>
              <w:rPr>
                <w:rFonts w:eastAsia="Calibri"/>
              </w:rPr>
              <w:t xml:space="preserve">use, but applied to the product to be preserved directly. A </w:t>
            </w:r>
            <w:proofErr w:type="spellStart"/>
            <w:r>
              <w:rPr>
                <w:rFonts w:eastAsia="Calibri"/>
              </w:rPr>
              <w:t>dustability</w:t>
            </w:r>
            <w:proofErr w:type="spellEnd"/>
            <w:r>
              <w:rPr>
                <w:rFonts w:eastAsia="Calibri"/>
              </w:rPr>
              <w:t xml:space="preserve"> determination is therefore not considered necessary.</w:t>
            </w:r>
          </w:p>
        </w:tc>
      </w:tr>
      <w:tr w:rsidR="00224331" w14:paraId="2BA2C43F"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CF5B94" w14:textId="77777777" w:rsidR="00CF59EF" w:rsidRDefault="000B5D37">
            <w:pPr>
              <w:rPr>
                <w:rFonts w:eastAsia="Calibri"/>
              </w:rPr>
            </w:pPr>
            <w:r>
              <w:rPr>
                <w:rFonts w:eastAsia="Calibri"/>
              </w:rPr>
              <w:t>Burning rate — smoke generators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F932A1"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18199C"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9B6EAF" w14:textId="77777777" w:rsidR="00CF59EF" w:rsidRDefault="000B5D37">
            <w:pPr>
              <w:rPr>
                <w:rFonts w:eastAsia="Calibri"/>
              </w:rPr>
            </w:pPr>
            <w:r>
              <w:rPr>
                <w:rFonts w:eastAsia="Calibri"/>
              </w:rPr>
              <w:t>Not applicable, the product is not a smoke generator.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F1F077" w14:textId="77777777" w:rsidR="00CF59EF" w:rsidRDefault="000B5D37">
            <w:pPr>
              <w:rPr>
                <w:rFonts w:eastAsia="Calibri"/>
              </w:rPr>
            </w:pPr>
            <w:r>
              <w:rPr>
                <w:rFonts w:eastAsia="Calibri"/>
              </w:rPr>
              <w:t>-</w:t>
            </w:r>
          </w:p>
        </w:tc>
      </w:tr>
      <w:tr w:rsidR="00224331" w14:paraId="614EB9B5"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4F7583" w14:textId="77777777" w:rsidR="00CF59EF" w:rsidRDefault="000B5D37">
            <w:pPr>
              <w:rPr>
                <w:rFonts w:eastAsia="Calibri"/>
              </w:rPr>
            </w:pPr>
            <w:r>
              <w:rPr>
                <w:rFonts w:eastAsia="Calibri"/>
              </w:rPr>
              <w:t>Burning completeness — smoke generators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5BE726"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BF7E5D"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5F7C4C" w14:textId="77777777" w:rsidR="00CF59EF" w:rsidRDefault="000B5D37">
            <w:pPr>
              <w:rPr>
                <w:rFonts w:eastAsia="Calibri"/>
              </w:rPr>
            </w:pPr>
            <w:r>
              <w:rPr>
                <w:rFonts w:eastAsia="Calibri"/>
              </w:rPr>
              <w:t>Not applicable, the product is not a smoke generator.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30202A" w14:textId="77777777" w:rsidR="00CF59EF" w:rsidRDefault="000B5D37">
            <w:pPr>
              <w:rPr>
                <w:rFonts w:eastAsia="Calibri"/>
              </w:rPr>
            </w:pPr>
            <w:r>
              <w:rPr>
                <w:rFonts w:eastAsia="Calibri"/>
              </w:rPr>
              <w:t>-</w:t>
            </w:r>
          </w:p>
        </w:tc>
      </w:tr>
      <w:tr w:rsidR="00224331" w14:paraId="6A566014"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37356A" w14:textId="77777777" w:rsidR="00CF59EF" w:rsidRDefault="000B5D37">
            <w:pPr>
              <w:rPr>
                <w:rFonts w:eastAsia="Calibri"/>
              </w:rPr>
            </w:pPr>
            <w:r>
              <w:rPr>
                <w:rFonts w:eastAsia="Calibri"/>
              </w:rPr>
              <w:t>Composition of smoke — smoke generators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08E31E"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FDFE44"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106705" w14:textId="77777777" w:rsidR="00CF59EF" w:rsidRDefault="000B5D37">
            <w:pPr>
              <w:rPr>
                <w:rFonts w:eastAsia="Calibri"/>
              </w:rPr>
            </w:pPr>
            <w:r>
              <w:rPr>
                <w:rFonts w:eastAsia="Calibri"/>
              </w:rPr>
              <w:t>Not applicable, the product is not a smoke generator.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4D0F73" w14:textId="77777777" w:rsidR="00CF59EF" w:rsidRDefault="000B5D37">
            <w:pPr>
              <w:rPr>
                <w:rFonts w:eastAsia="Calibri"/>
              </w:rPr>
            </w:pPr>
            <w:r>
              <w:rPr>
                <w:rFonts w:eastAsia="Calibri"/>
              </w:rPr>
              <w:t>-</w:t>
            </w:r>
          </w:p>
        </w:tc>
      </w:tr>
      <w:tr w:rsidR="00224331" w14:paraId="2482AC31"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B0CD0A" w14:textId="77777777" w:rsidR="00CF59EF" w:rsidRDefault="000B5D37">
            <w:pPr>
              <w:rPr>
                <w:rFonts w:eastAsia="Calibri"/>
              </w:rPr>
            </w:pPr>
            <w:r>
              <w:rPr>
                <w:rFonts w:eastAsia="Calibri"/>
              </w:rPr>
              <w:t>Spraying pattern — aerosols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B6B015"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8DD8FE"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A4710" w14:textId="77777777" w:rsidR="00CF59EF" w:rsidRDefault="000B5D37">
            <w:pPr>
              <w:rPr>
                <w:rFonts w:eastAsia="Calibri"/>
              </w:rPr>
            </w:pPr>
            <w:r>
              <w:rPr>
                <w:rFonts w:eastAsia="Calibri"/>
              </w:rPr>
              <w:t>Not applicable, the product is not an aerosol.</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1512E5" w14:textId="77777777" w:rsidR="00CF59EF" w:rsidRDefault="000B5D37">
            <w:pPr>
              <w:rPr>
                <w:rFonts w:eastAsia="Calibri"/>
              </w:rPr>
            </w:pPr>
            <w:r>
              <w:rPr>
                <w:rFonts w:eastAsia="Calibri"/>
              </w:rPr>
              <w:t>-</w:t>
            </w:r>
          </w:p>
        </w:tc>
      </w:tr>
      <w:tr w:rsidR="00224331" w14:paraId="2144A3CE"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1494D7" w14:textId="77777777" w:rsidR="00CF59EF" w:rsidRDefault="000B5D37">
            <w:pPr>
              <w:rPr>
                <w:rFonts w:eastAsia="Calibri"/>
              </w:rPr>
            </w:pPr>
            <w:r>
              <w:rPr>
                <w:rFonts w:eastAsia="Calibri"/>
              </w:rPr>
              <w:t>Physical compatibility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9EC90E"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940CD5"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BD0CB0" w14:textId="77777777" w:rsidR="00CF59EF" w:rsidRDefault="000B5D37">
            <w:pPr>
              <w:rPr>
                <w:rFonts w:eastAsia="Calibri"/>
              </w:rPr>
            </w:pPr>
            <w:r>
              <w:rPr>
                <w:rFonts w:eastAsia="Calibri"/>
              </w:rPr>
              <w:t xml:space="preserve">There are no data that the product would be physically incompatible with other products. </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9C9673" w14:textId="77777777" w:rsidR="00CF59EF" w:rsidRDefault="000B5D37">
            <w:pPr>
              <w:rPr>
                <w:rFonts w:eastAsia="Calibri"/>
              </w:rPr>
            </w:pPr>
            <w:r>
              <w:rPr>
                <w:rFonts w:eastAsia="Calibri"/>
              </w:rPr>
              <w:t>-</w:t>
            </w:r>
          </w:p>
        </w:tc>
      </w:tr>
      <w:tr w:rsidR="00224331" w14:paraId="1610D3E9"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4CCA22" w14:textId="77777777" w:rsidR="00CF59EF" w:rsidRDefault="000B5D37">
            <w:pPr>
              <w:rPr>
                <w:rFonts w:eastAsia="Calibri"/>
              </w:rPr>
            </w:pPr>
            <w:r>
              <w:rPr>
                <w:rFonts w:eastAsia="Calibri"/>
              </w:rPr>
              <w:t>Chemical compatibility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F3724F"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75397B"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B1C66" w14:textId="77777777" w:rsidR="00CF59EF" w:rsidRDefault="000B5D37">
            <w:pPr>
              <w:rPr>
                <w:rFonts w:eastAsia="Calibri"/>
              </w:rPr>
            </w:pPr>
            <w:r>
              <w:rPr>
                <w:rFonts w:eastAsia="Calibri"/>
              </w:rPr>
              <w:t>There are no data that the product would be chemically incompatible with other products.</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D1A26" w14:textId="77777777" w:rsidR="00CF59EF" w:rsidRDefault="000B5D37">
            <w:pPr>
              <w:rPr>
                <w:rFonts w:eastAsia="Calibri"/>
              </w:rPr>
            </w:pPr>
            <w:r>
              <w:rPr>
                <w:rFonts w:eastAsia="Calibri"/>
              </w:rPr>
              <w:t>-</w:t>
            </w:r>
          </w:p>
        </w:tc>
      </w:tr>
      <w:tr w:rsidR="00224331" w14:paraId="1824C754"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9E5CA6" w14:textId="77777777" w:rsidR="00CF59EF" w:rsidRDefault="000B5D37">
            <w:pPr>
              <w:rPr>
                <w:rFonts w:eastAsia="Calibri"/>
              </w:rPr>
            </w:pPr>
            <w:r>
              <w:rPr>
                <w:rFonts w:eastAsia="Calibri"/>
              </w:rPr>
              <w:t>Degree of dissolution and dilution stability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551F53"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9F96E2"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C2CE1" w14:textId="77777777" w:rsidR="00CF59EF" w:rsidRDefault="000B5D37">
            <w:pPr>
              <w:rPr>
                <w:rFonts w:eastAsia="Calibri"/>
              </w:rPr>
            </w:pPr>
            <w:r>
              <w:rPr>
                <w:rFonts w:eastAsia="Calibri"/>
              </w:rPr>
              <w:t>Not applicable. The product is not used as a solution.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025FE0" w14:textId="77777777" w:rsidR="00CF59EF" w:rsidRDefault="000B5D37">
            <w:pPr>
              <w:rPr>
                <w:rFonts w:eastAsia="Calibri"/>
              </w:rPr>
            </w:pPr>
            <w:r>
              <w:rPr>
                <w:rFonts w:eastAsia="Calibri"/>
              </w:rPr>
              <w:t>-</w:t>
            </w:r>
          </w:p>
        </w:tc>
      </w:tr>
      <w:tr w:rsidR="00224331" w14:paraId="2FE2EC81"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FFA8C5" w14:textId="77777777" w:rsidR="00CF59EF" w:rsidRDefault="000B5D37">
            <w:pPr>
              <w:rPr>
                <w:rFonts w:eastAsia="Calibri"/>
              </w:rPr>
            </w:pPr>
            <w:r>
              <w:rPr>
                <w:rFonts w:eastAsia="Calibri"/>
              </w:rPr>
              <w:t>Surface tension</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FA83CE" w14:textId="77777777" w:rsidR="00CF59EF" w:rsidRDefault="000B5D37">
            <w:pPr>
              <w:rPr>
                <w:rFonts w:eastAsia="Calibri"/>
              </w:rPr>
            </w:pPr>
            <w:r>
              <w:rPr>
                <w:rFonts w:eastAsia="Calibri"/>
              </w:rPr>
              <w:t>EC A5</w:t>
            </w:r>
          </w:p>
          <w:p w14:paraId="649F4170" w14:textId="77777777" w:rsidR="00CF59EF" w:rsidRDefault="000B5D37">
            <w:pPr>
              <w:rPr>
                <w:rFonts w:eastAsia="Calibri"/>
              </w:rPr>
            </w:pPr>
            <w:r>
              <w:rPr>
                <w:rFonts w:eastAsia="Calibri"/>
              </w:rPr>
              <w:t>OECD 115</w:t>
            </w:r>
          </w:p>
          <w:p w14:paraId="4C9E4A17" w14:textId="77777777" w:rsidR="00CF59EF" w:rsidRDefault="00CF59EF">
            <w:pPr>
              <w:rPr>
                <w:rFonts w:eastAsia="Calibri"/>
              </w:rPr>
            </w:pPr>
          </w:p>
          <w:p w14:paraId="6F8D3D7A" w14:textId="77777777" w:rsidR="00CF59EF" w:rsidRDefault="000B5D37">
            <w:pPr>
              <w:rPr>
                <w:rFonts w:eastAsia="Calibri"/>
              </w:rPr>
            </w:pPr>
            <w:r>
              <w:rPr>
                <w:rFonts w:eastAsia="Calibri"/>
              </w:rPr>
              <w:lastRenderedPageBreak/>
              <w:t>OECD harmonised ring method</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7C6B75" w14:textId="77777777" w:rsidR="00CF59EF" w:rsidRDefault="000B5D37">
            <w:pPr>
              <w:rPr>
                <w:rFonts w:eastAsia="Calibri"/>
              </w:rPr>
            </w:pPr>
            <w:r>
              <w:rPr>
                <w:rFonts w:eastAsia="Calibri"/>
              </w:rPr>
              <w:lastRenderedPageBreak/>
              <w:t xml:space="preserve">Not indicated; treated as 100% pure </w:t>
            </w:r>
            <w:r>
              <w:rPr>
                <w:rFonts w:eastAsia="Calibri"/>
              </w:rPr>
              <w:lastRenderedPageBreak/>
              <w:t>in the study.</w:t>
            </w:r>
          </w:p>
          <w:p w14:paraId="78331DF9" w14:textId="77777777" w:rsidR="00CF59EF" w:rsidRDefault="00CF59EF">
            <w:pPr>
              <w:rPr>
                <w:rFonts w:eastAsia="Calibri"/>
              </w:rPr>
            </w:pPr>
          </w:p>
          <w:p w14:paraId="5C11DBAE" w14:textId="77777777" w:rsidR="00CF59EF" w:rsidRDefault="000B5D37">
            <w:pPr>
              <w:rPr>
                <w:rFonts w:eastAsia="Calibri"/>
              </w:rPr>
            </w:pPr>
            <w:r>
              <w:rPr>
                <w:rFonts w:eastAsia="Calibri"/>
              </w:rPr>
              <w:t>Batch 0950-1</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2596BA" w14:textId="77777777" w:rsidR="00CF59EF" w:rsidRDefault="000B5D37">
            <w:pPr>
              <w:rPr>
                <w:rFonts w:eastAsia="Calibri"/>
              </w:rPr>
            </w:pPr>
            <w:r>
              <w:rPr>
                <w:rFonts w:eastAsia="Calibri"/>
              </w:rPr>
              <w:lastRenderedPageBreak/>
              <w:t xml:space="preserve">The surface tension of a 1 g/L aqueous solution of the product is 72.9 </w:t>
            </w:r>
            <w:proofErr w:type="spellStart"/>
            <w:r>
              <w:rPr>
                <w:rFonts w:eastAsia="Calibri"/>
              </w:rPr>
              <w:lastRenderedPageBreak/>
              <w:t>mN</w:t>
            </w:r>
            <w:proofErr w:type="spellEnd"/>
            <w:r>
              <w:rPr>
                <w:rFonts w:eastAsia="Calibri"/>
              </w:rPr>
              <w:t>/m at 20°C. The product is therefore regarded as not surface active.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4225B" w14:textId="77777777" w:rsidR="00CF59EF" w:rsidRDefault="000B5D37">
            <w:pPr>
              <w:rPr>
                <w:rFonts w:eastAsia="Calibri"/>
              </w:rPr>
            </w:pPr>
            <w:r>
              <w:rPr>
                <w:rFonts w:eastAsia="Calibri"/>
              </w:rPr>
              <w:lastRenderedPageBreak/>
              <w:t>Ref no.</w:t>
            </w:r>
          </w:p>
          <w:p w14:paraId="1C76CD29" w14:textId="77777777" w:rsidR="00CF59EF" w:rsidRDefault="000B5D37">
            <w:pPr>
              <w:rPr>
                <w:rFonts w:eastAsia="Calibri"/>
              </w:rPr>
            </w:pPr>
            <w:r>
              <w:rPr>
                <w:rFonts w:eastAsia="Calibri"/>
              </w:rPr>
              <w:t>2.2.2-01</w:t>
            </w:r>
          </w:p>
          <w:p w14:paraId="14A9580B"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3FA34FAD" w14:textId="77777777" w:rsidR="00CF59EF" w:rsidRDefault="00CF59EF">
            <w:pPr>
              <w:rPr>
                <w:rFonts w:eastAsia="Calibri"/>
              </w:rPr>
            </w:pPr>
          </w:p>
          <w:p w14:paraId="773463BB" w14:textId="77777777" w:rsidR="00CF59EF" w:rsidRDefault="00CF59EF">
            <w:pPr>
              <w:rPr>
                <w:rFonts w:eastAsia="Calibri"/>
              </w:rPr>
            </w:pPr>
          </w:p>
        </w:tc>
      </w:tr>
      <w:tr w:rsidR="00224331" w14:paraId="288A1B0B" w14:textId="77777777" w:rsidTr="004C122A">
        <w:tc>
          <w:tcPr>
            <w:tcW w:w="35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97D62C" w14:textId="77777777" w:rsidR="00CF59EF" w:rsidRDefault="000B5D37">
            <w:pPr>
              <w:rPr>
                <w:rFonts w:eastAsia="Calibri"/>
              </w:rPr>
            </w:pPr>
            <w:r>
              <w:rPr>
                <w:rFonts w:eastAsia="Calibri"/>
              </w:rPr>
              <w:t>Viscosity</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00307F" w14:textId="77777777" w:rsidR="00CF59EF" w:rsidRDefault="000B5D37">
            <w:pPr>
              <w:rPr>
                <w:rFonts w:eastAsia="Calibri"/>
              </w:rPr>
            </w:pPr>
            <w:r>
              <w:rPr>
                <w:rFonts w:eastAsia="Calibri"/>
              </w:rPr>
              <w:t>-</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516228" w14:textId="77777777" w:rsidR="00CF59EF" w:rsidRDefault="000B5D37">
            <w:pPr>
              <w:rPr>
                <w:rFonts w:eastAsia="Calibri"/>
              </w:rPr>
            </w:pPr>
            <w:r>
              <w:rPr>
                <w:rFonts w:eastAsia="Calibri"/>
              </w:rPr>
              <w:t>-</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2F99A2" w14:textId="77777777" w:rsidR="00CF59EF" w:rsidRDefault="000B5D37" w:rsidP="007474AA">
            <w:pPr>
              <w:rPr>
                <w:rFonts w:eastAsia="Calibri"/>
              </w:rPr>
            </w:pPr>
            <w:r>
              <w:rPr>
                <w:rFonts w:eastAsia="Calibri"/>
              </w:rPr>
              <w:t>The study does not need to be conducted because the product</w:t>
            </w:r>
            <w:r w:rsidR="007474AA">
              <w:rPr>
                <w:rFonts w:eastAsia="Calibri"/>
              </w:rPr>
              <w:t xml:space="preserve"> </w:t>
            </w:r>
            <w:r>
              <w:rPr>
                <w:rFonts w:eastAsia="Calibri"/>
              </w:rPr>
              <w:t>is a solid.</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25B47F" w14:textId="77777777" w:rsidR="00CF59EF" w:rsidRDefault="000B5D37">
            <w:pPr>
              <w:rPr>
                <w:rFonts w:eastAsia="Calibri"/>
              </w:rPr>
            </w:pPr>
            <w:r>
              <w:rPr>
                <w:rFonts w:eastAsia="Calibri"/>
              </w:rPr>
              <w:t>-</w:t>
            </w:r>
          </w:p>
        </w:tc>
      </w:tr>
    </w:tbl>
    <w:p w14:paraId="553C4398" w14:textId="77777777" w:rsidR="00CF59EF" w:rsidRDefault="00CF59EF">
      <w:pPr>
        <w:spacing w:after="360" w:line="260" w:lineRule="atLeast"/>
        <w:ind w:left="360"/>
        <w:contextualSpacing/>
        <w:rPr>
          <w:rFonts w:eastAsia="Calibri"/>
          <w:lang w:eastAsia="sv-SE"/>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14:paraId="2ACA654D" w14:textId="77777777">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03FA0CD1" w14:textId="77777777" w:rsidR="00CF59EF" w:rsidRDefault="000B5D37">
            <w:pPr>
              <w:spacing w:line="260" w:lineRule="atLeast"/>
              <w:rPr>
                <w:rFonts w:eastAsia="Calibri"/>
                <w:b/>
                <w:bCs/>
                <w:lang w:eastAsia="en-US"/>
              </w:rPr>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CF59EF" w14:paraId="77744355" w14:textId="77777777">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19CF75E" w14:textId="77777777" w:rsidR="00CF59EF" w:rsidRDefault="000B5D37">
            <w:pPr>
              <w:rPr>
                <w:lang w:val="en-US"/>
              </w:rPr>
            </w:pPr>
            <w:r>
              <w:rPr>
                <w:lang w:val="en-US"/>
              </w:rPr>
              <w:t>The product is a 100% (w/w) formulation of sodium benzoate (&gt;99.99</w:t>
            </w:r>
            <w:r w:rsidR="006F322B">
              <w:rPr>
                <w:lang w:val="en-US"/>
              </w:rPr>
              <w:t xml:space="preserve"> %</w:t>
            </w:r>
            <w:r>
              <w:rPr>
                <w:lang w:val="en-US"/>
              </w:rPr>
              <w:t xml:space="preserve"> (w/w) pure). At ambient conditions the product is an </w:t>
            </w:r>
            <w:proofErr w:type="spellStart"/>
            <w:r>
              <w:rPr>
                <w:lang w:val="en-US"/>
              </w:rPr>
              <w:t>odourless</w:t>
            </w:r>
            <w:proofErr w:type="spellEnd"/>
            <w:r>
              <w:rPr>
                <w:lang w:val="en-US"/>
              </w:rPr>
              <w:t xml:space="preserve">, white solid (granules). The pH of a 1% aqueous solution of the product is </w:t>
            </w:r>
            <w:r w:rsidR="00C33E8C">
              <w:rPr>
                <w:lang w:val="en-US"/>
              </w:rPr>
              <w:t>7.21</w:t>
            </w:r>
            <w:r w:rsidR="004B2E89">
              <w:rPr>
                <w:lang w:val="en-US"/>
              </w:rPr>
              <w:t xml:space="preserve"> and of a 10% aqueous solution 9.2-9.5</w:t>
            </w:r>
            <w:r>
              <w:rPr>
                <w:lang w:val="en-US"/>
              </w:rPr>
              <w:t>. Alkal</w:t>
            </w:r>
            <w:r w:rsidR="0000502D">
              <w:rPr>
                <w:lang w:val="en-US"/>
              </w:rPr>
              <w:t>i</w:t>
            </w:r>
            <w:r>
              <w:rPr>
                <w:lang w:val="en-US"/>
              </w:rPr>
              <w:t>nity/acidity determinations were therefore not relevant. The relative density</w:t>
            </w:r>
            <w:r w:rsidR="00C33E8C">
              <w:rPr>
                <w:lang w:val="en-US"/>
              </w:rPr>
              <w:t xml:space="preserve"> </w:t>
            </w:r>
            <w:r w:rsidR="00C33E8C">
              <w:rPr>
                <w:rFonts w:eastAsia="Calibri"/>
              </w:rPr>
              <w:t>(D</w:t>
            </w:r>
            <w:r w:rsidR="00C33E8C">
              <w:rPr>
                <w:rFonts w:eastAsia="Calibri"/>
                <w:vertAlign w:val="superscript"/>
              </w:rPr>
              <w:t>20</w:t>
            </w:r>
            <w:r w:rsidR="00C33E8C">
              <w:rPr>
                <w:rFonts w:eastAsia="Calibri"/>
                <w:vertAlign w:val="subscript"/>
              </w:rPr>
              <w:t>4</w:t>
            </w:r>
            <w:r w:rsidR="00C33E8C">
              <w:rPr>
                <w:rFonts w:eastAsia="Calibri"/>
              </w:rPr>
              <w:t xml:space="preserve">) </w:t>
            </w:r>
            <w:r>
              <w:rPr>
                <w:lang w:val="en-US"/>
              </w:rPr>
              <w:t xml:space="preserve"> of the product is </w:t>
            </w:r>
            <w:r w:rsidR="00C33E8C">
              <w:rPr>
                <w:rFonts w:eastAsia="Calibri"/>
              </w:rPr>
              <w:t>1.5 at 20°C</w:t>
            </w:r>
            <w:r>
              <w:rPr>
                <w:lang w:val="en-US"/>
              </w:rPr>
              <w:t xml:space="preserve">. </w:t>
            </w:r>
          </w:p>
          <w:p w14:paraId="6DCA940F" w14:textId="77777777" w:rsidR="0000502D" w:rsidRDefault="0000502D" w:rsidP="0000502D">
            <w:pPr>
              <w:rPr>
                <w:rFonts w:eastAsia="Calibri"/>
                <w:lang w:val="en-US"/>
              </w:rPr>
            </w:pPr>
          </w:p>
          <w:p w14:paraId="0F9EE529" w14:textId="77777777" w:rsidR="0000502D" w:rsidRDefault="000B5D37" w:rsidP="0000502D">
            <w:pPr>
              <w:rPr>
                <w:lang w:val="en-US"/>
              </w:rPr>
            </w:pPr>
            <w:r>
              <w:rPr>
                <w:rFonts w:eastAsia="Calibri"/>
                <w:lang w:val="en-US"/>
              </w:rPr>
              <w:t xml:space="preserve">The size of </w:t>
            </w:r>
            <w:r w:rsidR="000E64AA">
              <w:rPr>
                <w:rFonts w:eastAsia="Calibri"/>
                <w:lang w:val="en-US"/>
              </w:rPr>
              <w:t>~</w:t>
            </w:r>
            <w:r>
              <w:rPr>
                <w:rFonts w:eastAsia="Calibri"/>
                <w:lang w:val="en-US"/>
              </w:rPr>
              <w:t xml:space="preserve">98.6% of the particles was between 0.125 mm and 2.36 mm. </w:t>
            </w:r>
            <w:r w:rsidR="000E64AA">
              <w:rPr>
                <w:rFonts w:eastAsia="Calibri"/>
                <w:lang w:val="en-US"/>
              </w:rPr>
              <w:t>~</w:t>
            </w:r>
            <w:r>
              <w:rPr>
                <w:rFonts w:eastAsia="Calibri"/>
                <w:lang w:val="en-US"/>
              </w:rPr>
              <w:t>1.4% of the particles were smaller than 0.125 mm. The product is not surface active. There are no data which would indicate that the product would be physically or chemically incompatible with other products.</w:t>
            </w:r>
          </w:p>
          <w:p w14:paraId="5DCA03F9" w14:textId="77777777" w:rsidR="00130A1D" w:rsidRDefault="00130A1D" w:rsidP="0000502D">
            <w:pPr>
              <w:rPr>
                <w:rFonts w:eastAsia="Calibri"/>
                <w:lang w:val="en-US"/>
              </w:rPr>
            </w:pPr>
          </w:p>
          <w:p w14:paraId="2A075C7F" w14:textId="55AB2779" w:rsidR="0000502D" w:rsidRPr="004B2E89" w:rsidRDefault="0000502D" w:rsidP="0022047D">
            <w:pPr>
              <w:rPr>
                <w:rFonts w:eastAsia="Calibri"/>
                <w:lang w:val="en-US"/>
              </w:rPr>
            </w:pPr>
            <w:r>
              <w:rPr>
                <w:lang w:val="en-US"/>
              </w:rPr>
              <w:t xml:space="preserve">The content of the active substance in the product remained stable in all </w:t>
            </w:r>
            <w:r w:rsidR="00F42893">
              <w:rPr>
                <w:lang w:val="en-US"/>
              </w:rPr>
              <w:t xml:space="preserve">available </w:t>
            </w:r>
            <w:r>
              <w:rPr>
                <w:lang w:val="en-US"/>
              </w:rPr>
              <w:t xml:space="preserve">storage stability studies. </w:t>
            </w:r>
            <w:r w:rsidR="00B03748">
              <w:rPr>
                <w:lang w:val="en-US"/>
              </w:rPr>
              <w:t>A shelf life of 3 years is supported by long term shelf life study in PE which can be extrapolated to PP.</w:t>
            </w:r>
          </w:p>
        </w:tc>
      </w:tr>
    </w:tbl>
    <w:p w14:paraId="424813DB" w14:textId="77777777" w:rsidR="00CF59EF" w:rsidRDefault="00CF59EF">
      <w:pPr>
        <w:spacing w:after="360" w:line="260" w:lineRule="atLeast"/>
        <w:ind w:left="360"/>
        <w:contextualSpacing/>
        <w:rPr>
          <w:rFonts w:eastAsia="Calibri"/>
          <w:lang w:eastAsia="sv-SE"/>
        </w:rPr>
      </w:pPr>
    </w:p>
    <w:p w14:paraId="622E9BB0" w14:textId="77777777" w:rsidR="00CF59EF" w:rsidRDefault="000B5D37" w:rsidP="00172945">
      <w:pPr>
        <w:pStyle w:val="Heading2"/>
        <w:numPr>
          <w:ilvl w:val="2"/>
          <w:numId w:val="2"/>
        </w:numPr>
        <w:ind w:left="720"/>
      </w:pPr>
      <w:bookmarkStart w:id="1285" w:name="_Toc403472741"/>
      <w:bookmarkStart w:id="1286" w:name="_Toc389729029"/>
      <w:bookmarkStart w:id="1287" w:name="_Toc531868654"/>
      <w:bookmarkEnd w:id="1285"/>
      <w:bookmarkEnd w:id="1286"/>
      <w:r>
        <w:t>Physical hazards and respective characteristics</w:t>
      </w:r>
      <w:bookmarkEnd w:id="1287"/>
    </w:p>
    <w:tbl>
      <w:tblPr>
        <w:tblW w:w="93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234"/>
        <w:gridCol w:w="1202"/>
        <w:gridCol w:w="1412"/>
        <w:gridCol w:w="2979"/>
        <w:gridCol w:w="1483"/>
      </w:tblGrid>
      <w:tr w:rsidR="00CF59EF" w14:paraId="0E5D475D" w14:textId="77777777" w:rsidTr="000A50FE">
        <w:trPr>
          <w:tblHeader/>
        </w:trPr>
        <w:tc>
          <w:tcPr>
            <w:tcW w:w="2234"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311794B1" w14:textId="77777777" w:rsidR="00CF59EF" w:rsidRDefault="000B5D37">
            <w:pPr>
              <w:rPr>
                <w:rFonts w:eastAsia="Calibri"/>
                <w:b/>
              </w:rPr>
            </w:pPr>
            <w:r>
              <w:rPr>
                <w:rFonts w:eastAsia="Calibri"/>
                <w:b/>
              </w:rPr>
              <w:t>Property</w:t>
            </w:r>
          </w:p>
        </w:tc>
        <w:tc>
          <w:tcPr>
            <w:tcW w:w="120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70B01766" w14:textId="77777777" w:rsidR="00CF59EF" w:rsidRDefault="000B5D37">
            <w:pPr>
              <w:rPr>
                <w:rFonts w:eastAsia="Calibri"/>
                <w:b/>
              </w:rPr>
            </w:pPr>
            <w:r>
              <w:rPr>
                <w:rFonts w:eastAsia="Calibri"/>
                <w:b/>
              </w:rPr>
              <w:t>Guideline  and Method</w:t>
            </w:r>
          </w:p>
        </w:tc>
        <w:tc>
          <w:tcPr>
            <w:tcW w:w="141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2E7EA0BD" w14:textId="77777777" w:rsidR="00CF59EF" w:rsidRDefault="000B5D37">
            <w:pPr>
              <w:rPr>
                <w:rFonts w:eastAsia="Calibri"/>
                <w:b/>
              </w:rPr>
            </w:pPr>
            <w:r>
              <w:rPr>
                <w:rFonts w:eastAsia="Calibri"/>
                <w:b/>
              </w:rPr>
              <w:t>Purity of the test substance (% (w/w)</w:t>
            </w:r>
          </w:p>
        </w:tc>
        <w:tc>
          <w:tcPr>
            <w:tcW w:w="2979"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4AE92FBA" w14:textId="77777777" w:rsidR="00CF59EF" w:rsidRDefault="000B5D37">
            <w:pPr>
              <w:rPr>
                <w:rFonts w:eastAsia="Calibri"/>
                <w:b/>
              </w:rPr>
            </w:pPr>
            <w:r>
              <w:rPr>
                <w:rFonts w:eastAsia="Calibri"/>
                <w:b/>
              </w:rPr>
              <w:t>Results</w:t>
            </w:r>
          </w:p>
        </w:tc>
        <w:tc>
          <w:tcPr>
            <w:tcW w:w="1483"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14:paraId="6ED8CDD5" w14:textId="77777777" w:rsidR="00CF59EF" w:rsidRDefault="000B5D37">
            <w:pPr>
              <w:rPr>
                <w:rFonts w:eastAsia="Calibri"/>
                <w:b/>
              </w:rPr>
            </w:pPr>
            <w:r>
              <w:rPr>
                <w:rFonts w:eastAsia="Calibri"/>
                <w:b/>
              </w:rPr>
              <w:t>Reference</w:t>
            </w:r>
          </w:p>
        </w:tc>
      </w:tr>
      <w:tr w:rsidR="00CF59EF" w14:paraId="682F4F68"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876C50" w14:textId="77777777" w:rsidR="00CF59EF" w:rsidRDefault="000B5D37">
            <w:pPr>
              <w:rPr>
                <w:rFonts w:eastAsia="Calibri"/>
              </w:rPr>
            </w:pPr>
            <w:r>
              <w:rPr>
                <w:rFonts w:eastAsia="Calibri"/>
              </w:rPr>
              <w:t>Explosives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531561" w14:textId="77777777" w:rsidR="00CF59EF" w:rsidRDefault="000B5D37">
            <w:pPr>
              <w:rPr>
                <w:rFonts w:eastAsia="Calibri"/>
              </w:rPr>
            </w:pPr>
            <w:r>
              <w:rPr>
                <w:rFonts w:eastAsia="Calibri"/>
              </w:rPr>
              <w:t>UN APP 6</w:t>
            </w:r>
          </w:p>
          <w:p w14:paraId="5F67D552" w14:textId="77777777" w:rsidR="00CF59EF" w:rsidRDefault="00CF59EF">
            <w:pPr>
              <w:rPr>
                <w:rFonts w:eastAsia="Calibri"/>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6F95A3" w14:textId="77777777" w:rsidR="00CF59EF" w:rsidRDefault="000B5D37">
            <w:pPr>
              <w:rPr>
                <w:rFonts w:eastAsia="Calibri"/>
              </w:rPr>
            </w:pPr>
            <w:r>
              <w:rPr>
                <w:rFonts w:eastAsia="Calibri"/>
              </w:rPr>
              <w:t>-</w:t>
            </w:r>
          </w:p>
          <w:p w14:paraId="2CCC68CE" w14:textId="77777777" w:rsidR="00CF59EF" w:rsidRDefault="00CF59EF">
            <w:pPr>
              <w:rPr>
                <w:rFonts w:eastAsia="Calibri"/>
                <w:lang w:val="nl-NL"/>
              </w:rPr>
            </w:pP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DD7177" w14:textId="77777777" w:rsidR="00CF59EF" w:rsidRDefault="000B5D37">
            <w:pPr>
              <w:rPr>
                <w:rFonts w:eastAsia="Calibri"/>
                <w:lang w:val="en-US"/>
              </w:rPr>
            </w:pPr>
            <w:r>
              <w:rPr>
                <w:rFonts w:eastAsia="Calibri"/>
                <w:lang w:val="en-US"/>
              </w:rPr>
              <w:t>The product is regarded to be not explosive since the substance does not contain any group that is chemically unstable or highly energetic.</w:t>
            </w:r>
          </w:p>
          <w:p w14:paraId="2256B8C6" w14:textId="77777777" w:rsidR="00CF59EF" w:rsidRDefault="000B5D37">
            <w:pPr>
              <w:rPr>
                <w:rFonts w:eastAsia="Calibri"/>
                <w:lang w:val="en-US"/>
              </w:rPr>
            </w:pPr>
            <w:r>
              <w:rPr>
                <w:rFonts w:eastAsia="Calibri"/>
                <w:lang w:val="en-US"/>
              </w:rPr>
              <w:t>(Statement)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FB55E6" w14:textId="77777777" w:rsidR="00CF59EF" w:rsidRDefault="000B5D37">
            <w:pPr>
              <w:rPr>
                <w:rFonts w:eastAsia="Calibri"/>
              </w:rPr>
            </w:pPr>
            <w:r>
              <w:rPr>
                <w:rFonts w:eastAsia="Calibri"/>
              </w:rPr>
              <w:t>Ref no.</w:t>
            </w:r>
          </w:p>
          <w:p w14:paraId="0C1B4DD2" w14:textId="77777777" w:rsidR="00CF59EF" w:rsidRDefault="000B5D37">
            <w:pPr>
              <w:rPr>
                <w:rFonts w:eastAsia="Calibri"/>
              </w:rPr>
            </w:pPr>
            <w:r>
              <w:rPr>
                <w:rFonts w:eastAsia="Calibri"/>
              </w:rPr>
              <w:t>2.2.2-01 (</w:t>
            </w:r>
            <w:proofErr w:type="spellStart"/>
            <w:r w:rsidR="002F4C58" w:rsidRPr="002F4C58">
              <w:rPr>
                <w:rFonts w:eastAsia="Calibri"/>
                <w:highlight w:val="black"/>
              </w:rPr>
              <w:t>xxxxx</w:t>
            </w:r>
            <w:proofErr w:type="spellEnd"/>
            <w:r>
              <w:rPr>
                <w:rFonts w:eastAsia="Calibri"/>
              </w:rPr>
              <w:t>)</w:t>
            </w:r>
          </w:p>
          <w:p w14:paraId="0E852F1C" w14:textId="77777777" w:rsidR="00CF59EF" w:rsidRDefault="00CF59EF">
            <w:pPr>
              <w:rPr>
                <w:rFonts w:eastAsia="Calibri"/>
                <w:lang w:val="nl-NL"/>
              </w:rPr>
            </w:pPr>
          </w:p>
          <w:p w14:paraId="266CF308" w14:textId="77777777" w:rsidR="00CF59EF" w:rsidRDefault="00CF59EF">
            <w:pPr>
              <w:rPr>
                <w:rFonts w:eastAsia="Calibri"/>
                <w:lang w:val="nl-NL"/>
              </w:rPr>
            </w:pPr>
          </w:p>
          <w:p w14:paraId="3CB433AD" w14:textId="77777777" w:rsidR="00CF59EF" w:rsidRDefault="00CF59EF">
            <w:pPr>
              <w:rPr>
                <w:rFonts w:eastAsia="Calibri"/>
              </w:rPr>
            </w:pPr>
          </w:p>
        </w:tc>
      </w:tr>
      <w:tr w:rsidR="00CF59EF" w14:paraId="72DDE1FC"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0647A2" w14:textId="77777777" w:rsidR="00CF59EF" w:rsidRDefault="000B5D37">
            <w:pPr>
              <w:rPr>
                <w:rFonts w:eastAsia="Calibri"/>
              </w:rPr>
            </w:pPr>
            <w:r>
              <w:rPr>
                <w:rFonts w:eastAsia="Calibri"/>
              </w:rPr>
              <w:t>Flammable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F6FF8C"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B674B3"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A7E4DF"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0423CB" w14:textId="77777777" w:rsidR="00CF59EF" w:rsidRDefault="000B5D37">
            <w:pPr>
              <w:rPr>
                <w:rFonts w:eastAsia="Calibri"/>
              </w:rPr>
            </w:pPr>
            <w:r>
              <w:rPr>
                <w:rFonts w:eastAsia="Calibri"/>
              </w:rPr>
              <w:t>-</w:t>
            </w:r>
          </w:p>
        </w:tc>
      </w:tr>
      <w:tr w:rsidR="00CF59EF" w14:paraId="5B82F36E"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336613" w14:textId="77777777" w:rsidR="00CF59EF" w:rsidRDefault="000B5D37">
            <w:pPr>
              <w:rPr>
                <w:rFonts w:eastAsia="Calibri"/>
              </w:rPr>
            </w:pPr>
            <w:r>
              <w:rPr>
                <w:rFonts w:eastAsia="Calibri"/>
              </w:rPr>
              <w:t>Flammable aerosols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DFC589"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AA026C"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2BA10E"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CE7C4A" w14:textId="77777777" w:rsidR="00CF59EF" w:rsidRDefault="000B5D37">
            <w:pPr>
              <w:rPr>
                <w:rFonts w:eastAsia="Calibri"/>
              </w:rPr>
            </w:pPr>
            <w:r>
              <w:rPr>
                <w:rFonts w:eastAsia="Calibri"/>
              </w:rPr>
              <w:t>-</w:t>
            </w:r>
          </w:p>
        </w:tc>
      </w:tr>
      <w:tr w:rsidR="00CF59EF" w14:paraId="2303F329"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C1A6EA" w14:textId="77777777" w:rsidR="00CF59EF" w:rsidRDefault="000B5D37">
            <w:pPr>
              <w:rPr>
                <w:rFonts w:eastAsia="Calibri"/>
              </w:rPr>
            </w:pPr>
            <w:r>
              <w:rPr>
                <w:rFonts w:eastAsia="Calibri"/>
              </w:rPr>
              <w:t>Oxidising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2D44B0"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B0DA12"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AABEFB"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6D5FDF" w14:textId="77777777" w:rsidR="00CF59EF" w:rsidRDefault="000B5D37">
            <w:pPr>
              <w:rPr>
                <w:rFonts w:eastAsia="Calibri"/>
              </w:rPr>
            </w:pPr>
            <w:r>
              <w:rPr>
                <w:rFonts w:eastAsia="Calibri"/>
              </w:rPr>
              <w:t>-</w:t>
            </w:r>
          </w:p>
        </w:tc>
      </w:tr>
      <w:tr w:rsidR="00CF59EF" w14:paraId="515B329B"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943D31" w14:textId="77777777" w:rsidR="00CF59EF" w:rsidRDefault="000B5D37">
            <w:pPr>
              <w:rPr>
                <w:rFonts w:eastAsia="Calibri"/>
              </w:rPr>
            </w:pPr>
            <w:r>
              <w:rPr>
                <w:rFonts w:eastAsia="Calibri"/>
              </w:rPr>
              <w:t>Gases under pressure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FC5DB5"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A3F1F3"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85C13C"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52D8FD" w14:textId="77777777" w:rsidR="00CF59EF" w:rsidRDefault="000B5D37">
            <w:pPr>
              <w:rPr>
                <w:rFonts w:eastAsia="Calibri"/>
              </w:rPr>
            </w:pPr>
            <w:r>
              <w:rPr>
                <w:rFonts w:eastAsia="Calibri"/>
              </w:rPr>
              <w:t>-</w:t>
            </w:r>
          </w:p>
        </w:tc>
      </w:tr>
      <w:tr w:rsidR="00CF59EF" w14:paraId="21244B27"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B15633" w14:textId="77777777" w:rsidR="00CF59EF" w:rsidRDefault="000B5D37">
            <w:pPr>
              <w:rPr>
                <w:rFonts w:eastAsia="Calibri"/>
              </w:rPr>
            </w:pPr>
            <w:r>
              <w:rPr>
                <w:rFonts w:eastAsia="Calibri"/>
              </w:rPr>
              <w:t>Flammable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4BFF6"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852D9C"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33B36D"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77632C" w14:textId="77777777" w:rsidR="00CF59EF" w:rsidRDefault="000B5D37">
            <w:pPr>
              <w:rPr>
                <w:rFonts w:eastAsia="Calibri"/>
              </w:rPr>
            </w:pPr>
            <w:r>
              <w:rPr>
                <w:rFonts w:eastAsia="Calibri"/>
              </w:rPr>
              <w:t>-</w:t>
            </w:r>
          </w:p>
        </w:tc>
      </w:tr>
      <w:tr w:rsidR="00CF59EF" w14:paraId="45F53E7B"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63EB8A" w14:textId="77777777" w:rsidR="00CF59EF" w:rsidRDefault="000B5D37">
            <w:pPr>
              <w:rPr>
                <w:rFonts w:eastAsia="Calibri"/>
              </w:rPr>
            </w:pPr>
            <w:r>
              <w:rPr>
                <w:rFonts w:eastAsia="Calibri"/>
              </w:rPr>
              <w:lastRenderedPageBreak/>
              <w:t>Flammable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4FD4D6" w14:textId="77777777" w:rsidR="00CF59EF" w:rsidRDefault="000B5D37">
            <w:pPr>
              <w:rPr>
                <w:rFonts w:eastAsia="Calibri"/>
              </w:rPr>
            </w:pPr>
            <w:r>
              <w:rPr>
                <w:rFonts w:eastAsia="Calibri"/>
              </w:rPr>
              <w:t>EC A.10</w:t>
            </w:r>
          </w:p>
          <w:p w14:paraId="1DA50F6E" w14:textId="77777777" w:rsidR="00CF59EF" w:rsidRDefault="000B5D37">
            <w:pPr>
              <w:rPr>
                <w:rFonts w:eastAsia="Calibri"/>
              </w:rPr>
            </w:pPr>
            <w:r>
              <w:rPr>
                <w:rFonts w:eastAsia="Calibri"/>
              </w:rPr>
              <w:t>UN N.1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4DA1D6" w14:textId="77777777" w:rsidR="00CF59EF" w:rsidRDefault="000B5D37">
            <w:pPr>
              <w:rPr>
                <w:rFonts w:eastAsia="Calibri"/>
              </w:rPr>
            </w:pPr>
            <w:r>
              <w:rPr>
                <w:rFonts w:eastAsia="Calibri"/>
              </w:rPr>
              <w:t>Not indicated; treated as 100% pure</w:t>
            </w:r>
          </w:p>
          <w:p w14:paraId="1D467565" w14:textId="77777777" w:rsidR="00CF59EF" w:rsidRDefault="00CF59EF">
            <w:pPr>
              <w:rPr>
                <w:rFonts w:eastAsia="Calibri"/>
              </w:rPr>
            </w:pPr>
          </w:p>
          <w:p w14:paraId="331277B0" w14:textId="77777777" w:rsidR="00CF59EF" w:rsidRDefault="000B5D37">
            <w:pPr>
              <w:rPr>
                <w:rFonts w:eastAsia="Calibri"/>
              </w:rPr>
            </w:pPr>
            <w:r>
              <w:rPr>
                <w:rFonts w:eastAsia="Calibri"/>
              </w:rPr>
              <w:t xml:space="preserve">Benzoic acid, batch 0948-5 </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86662A" w14:textId="77777777" w:rsidR="00CF59EF" w:rsidRDefault="000B5D37">
            <w:pPr>
              <w:rPr>
                <w:lang w:val="en-US"/>
              </w:rPr>
            </w:pPr>
            <w:r>
              <w:rPr>
                <w:rFonts w:eastAsia="Calibri"/>
              </w:rPr>
              <w:t xml:space="preserve">Flammability: </w:t>
            </w:r>
            <w:r>
              <w:rPr>
                <w:lang w:val="en-US"/>
              </w:rPr>
              <w:t>Not flammable.</w:t>
            </w:r>
          </w:p>
          <w:p w14:paraId="4D0A412F" w14:textId="77777777" w:rsidR="00CF59EF" w:rsidRDefault="000B5D37">
            <w:pPr>
              <w:rPr>
                <w:rFonts w:eastAsia="Calibri"/>
                <w:lang w:val="en-US"/>
              </w:rPr>
            </w:pPr>
            <w:r>
              <w:rPr>
                <w:lang w:val="en-US"/>
              </w:rPr>
              <w:t>Result derived by read-across from benzoic acid.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737F71" w14:textId="77777777" w:rsidR="00CF59EF" w:rsidRDefault="000B5D37">
            <w:pPr>
              <w:rPr>
                <w:rFonts w:eastAsia="Calibri"/>
              </w:rPr>
            </w:pPr>
            <w:r>
              <w:rPr>
                <w:rFonts w:eastAsia="Calibri"/>
              </w:rPr>
              <w:t>Ref no.</w:t>
            </w:r>
          </w:p>
          <w:p w14:paraId="72ECE3F2" w14:textId="77777777" w:rsidR="00CF59EF" w:rsidRDefault="000B5D37">
            <w:pPr>
              <w:rPr>
                <w:rFonts w:eastAsia="Calibri"/>
              </w:rPr>
            </w:pPr>
            <w:r>
              <w:rPr>
                <w:rFonts w:eastAsia="Calibri"/>
              </w:rPr>
              <w:t>2.2.</w:t>
            </w:r>
            <w:r w:rsidR="000A50FE">
              <w:rPr>
                <w:rFonts w:eastAsia="Calibri"/>
              </w:rPr>
              <w:t>2</w:t>
            </w:r>
            <w:r>
              <w:rPr>
                <w:rFonts w:eastAsia="Calibri"/>
              </w:rPr>
              <w:t>-01</w:t>
            </w:r>
          </w:p>
          <w:p w14:paraId="04F1A936"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14:paraId="272CA873"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6AC18F" w14:textId="77777777" w:rsidR="00CF59EF" w:rsidRDefault="000B5D37">
            <w:pPr>
              <w:rPr>
                <w:rFonts w:eastAsia="Calibri"/>
              </w:rPr>
            </w:pPr>
            <w:r>
              <w:rPr>
                <w:rFonts w:eastAsia="Calibri"/>
              </w:rPr>
              <w:t>Self-reactive substances and mixtures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9072B9"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8E1312"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7EA103" w14:textId="77777777" w:rsidR="00CF59EF" w:rsidRDefault="000B5D37">
            <w:pPr>
              <w:rPr>
                <w:rFonts w:eastAsia="Calibri"/>
                <w:lang w:val="en-US"/>
              </w:rPr>
            </w:pPr>
            <w:r>
              <w:rPr>
                <w:rFonts w:eastAsia="Calibri"/>
              </w:rPr>
              <w:t xml:space="preserve">The product does not contain alerts of specific and/or reactive groups </w:t>
            </w:r>
            <w:r>
              <w:rPr>
                <w:rFonts w:cs="Verdana"/>
                <w:lang w:val="en-US" w:eastAsia="nl-NL"/>
              </w:rPr>
              <w:t>which may have self-reactive properties. Furthermore the substance does not ha</w:t>
            </w:r>
            <w:r w:rsidR="00744DD0">
              <w:rPr>
                <w:rFonts w:cs="Verdana"/>
                <w:lang w:val="en-US" w:eastAsia="nl-NL"/>
              </w:rPr>
              <w:t>ve</w:t>
            </w:r>
            <w:r>
              <w:rPr>
                <w:rFonts w:cs="Verdana"/>
                <w:lang w:val="en-US" w:eastAsia="nl-NL"/>
              </w:rPr>
              <w:t xml:space="preserve"> explosive</w:t>
            </w:r>
            <w:r w:rsidR="00744DD0">
              <w:rPr>
                <w:rFonts w:cs="Verdana"/>
                <w:lang w:val="en-US" w:eastAsia="nl-NL"/>
              </w:rPr>
              <w:t>,</w:t>
            </w:r>
            <w:r>
              <w:rPr>
                <w:rFonts w:cs="Verdana"/>
                <w:lang w:val="en-US" w:eastAsia="nl-NL"/>
              </w:rPr>
              <w:t xml:space="preserve"> </w:t>
            </w:r>
            <w:proofErr w:type="spellStart"/>
            <w:r>
              <w:rPr>
                <w:rFonts w:cs="Verdana"/>
                <w:lang w:val="en-US" w:eastAsia="nl-NL"/>
              </w:rPr>
              <w:t>oxidising</w:t>
            </w:r>
            <w:proofErr w:type="spellEnd"/>
            <w:r>
              <w:rPr>
                <w:rFonts w:cs="Verdana"/>
                <w:lang w:val="en-US" w:eastAsia="nl-NL"/>
              </w:rPr>
              <w:t xml:space="preserve"> or pyrophoric properties and is not an organic peroxide. Taking this into account and considering experience with the substance and its confirmed storage stability, it is very unlikely that the product is a self-reactive substance.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F3B327" w14:textId="77777777" w:rsidR="00CF59EF" w:rsidRDefault="000B5D37">
            <w:pPr>
              <w:rPr>
                <w:rFonts w:eastAsia="Calibri"/>
              </w:rPr>
            </w:pPr>
            <w:r>
              <w:rPr>
                <w:rFonts w:eastAsia="Calibri"/>
              </w:rPr>
              <w:t>-</w:t>
            </w:r>
          </w:p>
        </w:tc>
      </w:tr>
      <w:tr w:rsidR="00CF59EF" w14:paraId="38E94133"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470FFA" w14:textId="77777777" w:rsidR="00CF59EF" w:rsidRDefault="000B5D37">
            <w:pPr>
              <w:rPr>
                <w:rFonts w:eastAsia="Calibri"/>
              </w:rPr>
            </w:pPr>
            <w:r>
              <w:rPr>
                <w:rFonts w:eastAsia="Calibri"/>
              </w:rPr>
              <w:t>Pyrophoric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3CDF9B"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5B2BD4"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AD3ADC"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B7D167" w14:textId="77777777" w:rsidR="00CF59EF" w:rsidRDefault="000B5D37">
            <w:pPr>
              <w:rPr>
                <w:rFonts w:eastAsia="Calibri"/>
              </w:rPr>
            </w:pPr>
            <w:r>
              <w:rPr>
                <w:rFonts w:eastAsia="Calibri"/>
              </w:rPr>
              <w:t>-</w:t>
            </w:r>
          </w:p>
        </w:tc>
      </w:tr>
      <w:tr w:rsidR="00CF59EF" w14:paraId="5346D4AC"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7700C4" w14:textId="77777777" w:rsidR="00CF59EF" w:rsidRDefault="000B5D37">
            <w:pPr>
              <w:rPr>
                <w:rFonts w:eastAsia="Calibri"/>
              </w:rPr>
            </w:pPr>
            <w:r>
              <w:rPr>
                <w:rFonts w:eastAsia="Calibri"/>
              </w:rPr>
              <w:t>Pyrophoric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6544BB" w14:textId="77777777" w:rsidR="00CF59EF" w:rsidRDefault="000B5D37">
            <w:pPr>
              <w:rPr>
                <w:rFonts w:eastAsia="Calibri"/>
              </w:rPr>
            </w:pPr>
            <w:r>
              <w:rPr>
                <w:rFonts w:eastAsia="Calibri"/>
              </w:rPr>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0A987E"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88FC74" w14:textId="77777777" w:rsidR="00CF59EF" w:rsidRDefault="000B5D37">
            <w:pPr>
              <w:rPr>
                <w:rFonts w:eastAsia="Calibri"/>
              </w:rPr>
            </w:pPr>
            <w:r>
              <w:rPr>
                <w:rFonts w:eastAsia="Calibri"/>
              </w:rPr>
              <w:t>From experience in use, and since the product does not contain specific structural alerts, the product is regarded to be not pyrophoric. (statement)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49D072" w14:textId="77777777" w:rsidR="00CF59EF" w:rsidRDefault="000B5D37">
            <w:pPr>
              <w:rPr>
                <w:rFonts w:eastAsia="Calibri"/>
              </w:rPr>
            </w:pPr>
            <w:r>
              <w:rPr>
                <w:rFonts w:eastAsia="Calibri"/>
              </w:rPr>
              <w:t>Ref no.</w:t>
            </w:r>
          </w:p>
          <w:p w14:paraId="30CE8B3E" w14:textId="77777777" w:rsidR="00CF59EF" w:rsidRDefault="000B5D37">
            <w:pPr>
              <w:rPr>
                <w:rFonts w:eastAsia="Calibri"/>
              </w:rPr>
            </w:pPr>
            <w:r>
              <w:rPr>
                <w:rFonts w:eastAsia="Calibri"/>
              </w:rPr>
              <w:t>2.2.2-01</w:t>
            </w:r>
          </w:p>
          <w:p w14:paraId="7EC09D97"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3E6AA26A" w14:textId="77777777" w:rsidR="00CF59EF" w:rsidRDefault="00CF59EF">
            <w:pPr>
              <w:rPr>
                <w:rFonts w:eastAsia="Calibri"/>
              </w:rPr>
            </w:pPr>
          </w:p>
          <w:p w14:paraId="1BE5A064" w14:textId="77777777" w:rsidR="00CF59EF" w:rsidRDefault="00CF59EF">
            <w:pPr>
              <w:rPr>
                <w:rFonts w:eastAsia="Calibri"/>
              </w:rPr>
            </w:pPr>
          </w:p>
        </w:tc>
      </w:tr>
      <w:tr w:rsidR="00CF59EF" w14:paraId="7CDD932C"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59BB1A" w14:textId="77777777" w:rsidR="00CF59EF" w:rsidRDefault="000B5D37">
            <w:pPr>
              <w:rPr>
                <w:rFonts w:eastAsia="Calibri"/>
              </w:rPr>
            </w:pPr>
            <w:r>
              <w:rPr>
                <w:rFonts w:eastAsia="Calibri"/>
              </w:rPr>
              <w:t>Self-heating substances and mixtures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6BAE83"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1297CF"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5686DC" w14:textId="77777777" w:rsidR="00CF59EF" w:rsidRDefault="000B5D37">
            <w:pPr>
              <w:rPr>
                <w:lang w:val="en-US"/>
              </w:rPr>
            </w:pPr>
            <w:r>
              <w:rPr>
                <w:lang w:val="en-US"/>
              </w:rPr>
              <w:t xml:space="preserve">Based on the structural formula of the active substance, the particle size of the product, and experience in use, the product is concluded to be not a self-heating substance. It will not react spontaneously with air when in larger amounts (kilograms) and after an extended period of time (hours or days). </w:t>
            </w:r>
          </w:p>
          <w:p w14:paraId="64809BA2" w14:textId="77777777" w:rsidR="00CF59EF" w:rsidRDefault="000B5D37">
            <w:pPr>
              <w:rPr>
                <w:lang w:val="en-US"/>
              </w:rPr>
            </w:pPr>
            <w:r>
              <w:rPr>
                <w:lang w:val="en-US"/>
              </w:rPr>
              <w:t>Testing for self-heating is therefore scientifically not necessary.</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DF7D7A" w14:textId="77777777" w:rsidR="00CF59EF" w:rsidRDefault="000B5D37">
            <w:pPr>
              <w:rPr>
                <w:rFonts w:eastAsia="Calibri"/>
              </w:rPr>
            </w:pPr>
            <w:r>
              <w:rPr>
                <w:rFonts w:eastAsia="Calibri"/>
              </w:rPr>
              <w:t>-</w:t>
            </w:r>
          </w:p>
        </w:tc>
      </w:tr>
      <w:tr w:rsidR="00CF59EF" w14:paraId="4C10B34F"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6407BA" w14:textId="77777777" w:rsidR="00CF59EF" w:rsidRDefault="000B5D37">
            <w:pPr>
              <w:rPr>
                <w:rFonts w:eastAsia="Calibri"/>
              </w:rPr>
            </w:pPr>
            <w:r>
              <w:rPr>
                <w:rFonts w:eastAsia="Calibri"/>
              </w:rPr>
              <w:t xml:space="preserve">Substances and mixtures which in </w:t>
            </w:r>
            <w:r>
              <w:rPr>
                <w:rFonts w:eastAsia="Calibri"/>
              </w:rPr>
              <w:lastRenderedPageBreak/>
              <w:t>contact with water emit flammable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895771" w14:textId="77777777" w:rsidR="00CF59EF" w:rsidRDefault="000B5D37">
            <w:pPr>
              <w:rPr>
                <w:rFonts w:eastAsia="Calibri"/>
              </w:rPr>
            </w:pPr>
            <w:r>
              <w:rPr>
                <w:rFonts w:eastAsia="Calibri"/>
              </w:rPr>
              <w:lastRenderedPageBreak/>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EC60F7" w14:textId="77777777" w:rsidR="00CF59EF" w:rsidRDefault="000B5D37">
            <w:pPr>
              <w:rPr>
                <w:rFonts w:eastAsia="Calibri"/>
                <w:highlight w:val="yellow"/>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50D88B" w14:textId="77777777" w:rsidR="00CF59EF" w:rsidRDefault="000B5D37">
            <w:pPr>
              <w:rPr>
                <w:rFonts w:eastAsia="Calibri"/>
              </w:rPr>
            </w:pPr>
            <w:r>
              <w:rPr>
                <w:rFonts w:eastAsia="Calibri"/>
              </w:rPr>
              <w:t xml:space="preserve">Flammability in contact with water: </w:t>
            </w:r>
          </w:p>
          <w:p w14:paraId="6D902D27" w14:textId="77777777" w:rsidR="00CF59EF" w:rsidRDefault="000B5D37">
            <w:pPr>
              <w:rPr>
                <w:rFonts w:eastAsia="Calibri"/>
                <w:i/>
                <w:lang w:val="en-US"/>
              </w:rPr>
            </w:pPr>
            <w:r>
              <w:rPr>
                <w:rFonts w:eastAsia="Calibri"/>
              </w:rPr>
              <w:lastRenderedPageBreak/>
              <w:t>From experience in use and since the product does not contain specific structural alerts, the product is regarded to be not highly flammable in contact with water.</w:t>
            </w:r>
            <w:r>
              <w:rPr>
                <w:rFonts w:eastAsia="Calibri"/>
                <w:i/>
                <w:highlight w:val="yellow"/>
                <w:lang w:val="en-US"/>
              </w:rPr>
              <w:t xml:space="preserve"> </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211725" w14:textId="77777777" w:rsidR="00CF59EF" w:rsidRDefault="000B5D37">
            <w:pPr>
              <w:rPr>
                <w:rFonts w:eastAsia="Calibri"/>
              </w:rPr>
            </w:pPr>
            <w:r>
              <w:rPr>
                <w:rFonts w:eastAsia="Calibri"/>
              </w:rPr>
              <w:lastRenderedPageBreak/>
              <w:t>Ref no.</w:t>
            </w:r>
          </w:p>
          <w:p w14:paraId="4381C886" w14:textId="77777777" w:rsidR="00CF59EF" w:rsidRDefault="000B5D37">
            <w:pPr>
              <w:rPr>
                <w:rFonts w:eastAsia="Calibri"/>
              </w:rPr>
            </w:pPr>
            <w:r>
              <w:rPr>
                <w:rFonts w:eastAsia="Calibri"/>
              </w:rPr>
              <w:t>2.2.2-01</w:t>
            </w:r>
          </w:p>
          <w:p w14:paraId="64F68D9A" w14:textId="77777777" w:rsidR="00CF59EF" w:rsidRDefault="000B5D37">
            <w:pPr>
              <w:rPr>
                <w:rFonts w:eastAsia="Calibri"/>
              </w:rPr>
            </w:pPr>
            <w:r>
              <w:rPr>
                <w:rFonts w:eastAsia="Calibri"/>
              </w:rPr>
              <w:lastRenderedPageBreak/>
              <w:t>(</w:t>
            </w:r>
            <w:proofErr w:type="spellStart"/>
            <w:r w:rsidR="002F4C58" w:rsidRPr="002F4C58">
              <w:rPr>
                <w:rFonts w:eastAsia="Calibri"/>
                <w:highlight w:val="black"/>
              </w:rPr>
              <w:t>xxxxx</w:t>
            </w:r>
            <w:proofErr w:type="spellEnd"/>
            <w:r>
              <w:rPr>
                <w:rFonts w:eastAsia="Calibri"/>
              </w:rPr>
              <w:t>)</w:t>
            </w:r>
          </w:p>
          <w:p w14:paraId="61A32D60" w14:textId="77777777" w:rsidR="00CF59EF" w:rsidRDefault="00CF59EF">
            <w:pPr>
              <w:rPr>
                <w:rFonts w:eastAsia="Calibri"/>
              </w:rPr>
            </w:pPr>
          </w:p>
        </w:tc>
      </w:tr>
      <w:tr w:rsidR="00CF59EF" w14:paraId="182DD421"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BBCC12" w14:textId="77777777" w:rsidR="00CF59EF" w:rsidRDefault="000B5D37">
            <w:pPr>
              <w:rPr>
                <w:rFonts w:eastAsia="Calibri"/>
              </w:rPr>
            </w:pPr>
            <w:r>
              <w:rPr>
                <w:rFonts w:eastAsia="Calibri"/>
              </w:rPr>
              <w:lastRenderedPageBreak/>
              <w:t>Oxidising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90975F"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0BE044"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A778DA"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D42F77" w14:textId="77777777" w:rsidR="00CF59EF" w:rsidRDefault="000B5D37">
            <w:pPr>
              <w:rPr>
                <w:rFonts w:eastAsia="Calibri"/>
              </w:rPr>
            </w:pPr>
            <w:r>
              <w:rPr>
                <w:rFonts w:eastAsia="Calibri"/>
              </w:rPr>
              <w:t>-</w:t>
            </w:r>
          </w:p>
        </w:tc>
      </w:tr>
      <w:tr w:rsidR="00CF59EF" w14:paraId="4092EC46"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2FBF0B" w14:textId="77777777" w:rsidR="00CF59EF" w:rsidRDefault="000B5D37">
            <w:pPr>
              <w:rPr>
                <w:rFonts w:eastAsia="Calibri"/>
              </w:rPr>
            </w:pPr>
            <w:r>
              <w:rPr>
                <w:rFonts w:eastAsia="Calibri"/>
              </w:rPr>
              <w:t>Oxidising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C0E6A9" w14:textId="77777777" w:rsidR="00CF59EF" w:rsidRDefault="000B5D37">
            <w:pPr>
              <w:rPr>
                <w:rFonts w:eastAsia="Calibri"/>
              </w:rPr>
            </w:pPr>
            <w:r>
              <w:rPr>
                <w:rFonts w:eastAsia="Calibri"/>
              </w:rPr>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5D96D1"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6FBD51" w14:textId="77777777" w:rsidR="00CF59EF" w:rsidRDefault="000B5D37">
            <w:pPr>
              <w:rPr>
                <w:rFonts w:eastAsia="Calibri"/>
                <w:lang w:val="en-US"/>
              </w:rPr>
            </w:pPr>
            <w:r>
              <w:rPr>
                <w:rFonts w:eastAsia="Calibri"/>
                <w:lang w:val="en-US"/>
              </w:rPr>
              <w:t xml:space="preserve">The product is regarded to be not </w:t>
            </w:r>
            <w:proofErr w:type="spellStart"/>
            <w:r>
              <w:rPr>
                <w:rFonts w:eastAsia="Calibri"/>
                <w:lang w:val="en-US"/>
              </w:rPr>
              <w:t>oxidising</w:t>
            </w:r>
            <w:proofErr w:type="spellEnd"/>
            <w:r>
              <w:rPr>
                <w:rFonts w:eastAsia="Calibri"/>
                <w:lang w:val="en-US"/>
              </w:rPr>
              <w:t xml:space="preserve"> since the substance does not contain any group that acts as an oxidizing agent. The oxygen atoms that are present are chemically bonded to carbon or hydrogen</w:t>
            </w:r>
          </w:p>
          <w:p w14:paraId="7CBED41E" w14:textId="77777777" w:rsidR="00CF59EF" w:rsidRDefault="000B5D37">
            <w:pPr>
              <w:rPr>
                <w:rFonts w:eastAsia="Calibri"/>
              </w:rPr>
            </w:pPr>
            <w:r>
              <w:rPr>
                <w:rFonts w:eastAsia="Calibri"/>
                <w:lang w:val="en-US"/>
              </w:rPr>
              <w:t>(Statement)</w:t>
            </w:r>
            <w:r w:rsidR="00744DD0">
              <w:rPr>
                <w:rFonts w:eastAsia="Calibri"/>
                <w:lang w:val="en-US"/>
              </w:rPr>
              <w: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DC814E" w14:textId="77777777" w:rsidR="00CF59EF" w:rsidRDefault="000B5D37">
            <w:pPr>
              <w:rPr>
                <w:rFonts w:eastAsia="Calibri"/>
              </w:rPr>
            </w:pPr>
            <w:r>
              <w:rPr>
                <w:rFonts w:eastAsia="Calibri"/>
              </w:rPr>
              <w:t>Ref no.</w:t>
            </w:r>
          </w:p>
          <w:p w14:paraId="0959514D" w14:textId="77777777" w:rsidR="00CF59EF" w:rsidRDefault="000B5D37">
            <w:pPr>
              <w:rPr>
                <w:rFonts w:eastAsia="Calibri"/>
              </w:rPr>
            </w:pPr>
            <w:r>
              <w:rPr>
                <w:rFonts w:eastAsia="Calibri"/>
              </w:rPr>
              <w:t>2.2.2-01</w:t>
            </w:r>
          </w:p>
          <w:p w14:paraId="4290A0C8" w14:textId="77777777"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14:paraId="41750022" w14:textId="77777777" w:rsidR="00CF59EF" w:rsidRDefault="00CF59EF">
            <w:pPr>
              <w:rPr>
                <w:rFonts w:eastAsia="Calibri"/>
              </w:rPr>
            </w:pPr>
          </w:p>
        </w:tc>
      </w:tr>
      <w:tr w:rsidR="00CF59EF" w14:paraId="430232D4"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7EFDB0" w14:textId="77777777" w:rsidR="00CF59EF" w:rsidRDefault="000B5D37">
            <w:pPr>
              <w:rPr>
                <w:rFonts w:eastAsia="Calibri"/>
              </w:rPr>
            </w:pPr>
            <w:r>
              <w:rPr>
                <w:rFonts w:eastAsia="Calibri"/>
              </w:rPr>
              <w:t>Organic peroxides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D734FC"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187E8A"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BB498D" w14:textId="77777777" w:rsidR="00CF59EF" w:rsidRDefault="000B5D37">
            <w:pPr>
              <w:rPr>
                <w:rFonts w:eastAsia="Calibri"/>
              </w:rPr>
            </w:pPr>
            <w:r>
              <w:rPr>
                <w:rFonts w:eastAsia="Calibri"/>
              </w:rPr>
              <w:t>Not applicable. The substance is not an organic peroxide.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0182C2" w14:textId="77777777" w:rsidR="00CF59EF" w:rsidRDefault="000B5D37">
            <w:pPr>
              <w:rPr>
                <w:rFonts w:eastAsia="Calibri"/>
              </w:rPr>
            </w:pPr>
            <w:r>
              <w:rPr>
                <w:rFonts w:eastAsia="Calibri"/>
              </w:rPr>
              <w:t>-</w:t>
            </w:r>
          </w:p>
        </w:tc>
      </w:tr>
      <w:tr w:rsidR="00CF59EF" w14:paraId="34C8EFF3"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64CD80" w14:textId="77777777" w:rsidR="00CF59EF" w:rsidRDefault="000B5D37">
            <w:pPr>
              <w:rPr>
                <w:rFonts w:eastAsia="Calibri"/>
              </w:rPr>
            </w:pPr>
            <w:r>
              <w:rPr>
                <w:rFonts w:eastAsia="Calibri"/>
              </w:rPr>
              <w:t>Corrosive to metals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2C8337"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B2950B"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0CAC74" w14:textId="77777777" w:rsidR="00CF59EF" w:rsidRDefault="000B5D37">
            <w:pPr>
              <w:rPr>
                <w:rFonts w:eastAsia="Calibri"/>
              </w:rPr>
            </w:pPr>
            <w:r>
              <w:rPr>
                <w:rFonts w:eastAsia="Calibri"/>
              </w:rPr>
              <w:t xml:space="preserve">There is no established suitable test method available for solid substances. Also, the pH of a 1% aqueous solution was determined to be 7.21 and no corrosive effect was evident on the skin. Therefore the product is not expected to be corrosive to metals, and a test with an aqueous solution has not been performed.  </w:t>
            </w:r>
            <w:r>
              <w:rPr>
                <w:rFonts w:cs="Verdana"/>
                <w:lang w:val="en-US" w:eastAsia="nl-NL"/>
              </w:rPr>
              <w:t xml:space="preserve"> </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408F5E" w14:textId="77777777" w:rsidR="00CF59EF" w:rsidRDefault="000B5D37">
            <w:pPr>
              <w:rPr>
                <w:rFonts w:eastAsia="Calibri"/>
              </w:rPr>
            </w:pPr>
            <w:r>
              <w:rPr>
                <w:rFonts w:eastAsia="Calibri"/>
              </w:rPr>
              <w:t>-</w:t>
            </w:r>
          </w:p>
        </w:tc>
      </w:tr>
      <w:tr w:rsidR="00CF59EF" w14:paraId="7C88859E" w14:textId="77777777">
        <w:tc>
          <w:tcPr>
            <w:tcW w:w="9310"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AA1F36" w14:textId="77777777" w:rsidR="00CF59EF" w:rsidRDefault="000B5D37">
            <w:pPr>
              <w:rPr>
                <w:rFonts w:eastAsia="Calibri"/>
                <w:b/>
              </w:rPr>
            </w:pPr>
            <w:proofErr w:type="spellStart"/>
            <w:r>
              <w:rPr>
                <w:rFonts w:eastAsia="Calibri"/>
                <w:b/>
              </w:rPr>
              <w:t>eCA</w:t>
            </w:r>
            <w:proofErr w:type="spellEnd"/>
            <w:r>
              <w:rPr>
                <w:rFonts w:eastAsia="Calibri"/>
                <w:b/>
              </w:rPr>
              <w:t xml:space="preserve"> remark</w:t>
            </w:r>
          </w:p>
          <w:p w14:paraId="687C1D9A" w14:textId="77777777" w:rsidR="00CF59EF" w:rsidRDefault="0000502D" w:rsidP="00316C15">
            <w:pPr>
              <w:rPr>
                <w:rFonts w:eastAsia="Calibri"/>
              </w:rPr>
            </w:pPr>
            <w:r>
              <w:rPr>
                <w:rFonts w:eastAsia="Calibri"/>
              </w:rPr>
              <w:t>The substance is a (weak) base. Therefore, it can potentially be corrosive in aqueous solutions. No testing methods for corrosiveness of solids, nor information on corrosiveness of solids is available but it is not expected that the formulation would be corrosive to metals. Considering the provisions of Annex IV of the BPR, if no test method is available, a study should not be required. Considering the substance/product is also not sever</w:t>
            </w:r>
            <w:r w:rsidR="0022047D">
              <w:rPr>
                <w:rFonts w:eastAsia="Calibri"/>
              </w:rPr>
              <w:t>e</w:t>
            </w:r>
            <w:r>
              <w:rPr>
                <w:rFonts w:eastAsia="Calibri"/>
              </w:rPr>
              <w:t xml:space="preserve">ly classified based on the toxicological endpoints, the </w:t>
            </w:r>
            <w:proofErr w:type="spellStart"/>
            <w:r>
              <w:rPr>
                <w:rFonts w:eastAsia="Calibri"/>
              </w:rPr>
              <w:t>eCA</w:t>
            </w:r>
            <w:proofErr w:type="spellEnd"/>
            <w:r>
              <w:rPr>
                <w:rFonts w:eastAsia="Calibri"/>
              </w:rPr>
              <w:t xml:space="preserve"> accepts that the substance/product does not need to be classified as metal corrosive.</w:t>
            </w:r>
          </w:p>
        </w:tc>
      </w:tr>
      <w:tr w:rsidR="00CF59EF" w14:paraId="4A239075"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7AF516" w14:textId="77777777" w:rsidR="00CF59EF" w:rsidRDefault="000B5D37">
            <w:pPr>
              <w:rPr>
                <w:rFonts w:eastAsia="Calibri"/>
              </w:rPr>
            </w:pPr>
            <w:r>
              <w:rPr>
                <w:rFonts w:eastAsia="Calibri"/>
              </w:rPr>
              <w:t>Auto-ignition temperatures of products (liquids and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191C0B"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559DAD"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8EBADB" w14:textId="77777777"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A34890" w14:textId="77777777" w:rsidR="00CF59EF" w:rsidRDefault="000B5D37">
            <w:pPr>
              <w:rPr>
                <w:rFonts w:eastAsia="Calibri"/>
              </w:rPr>
            </w:pPr>
            <w:r>
              <w:rPr>
                <w:rFonts w:eastAsia="Calibri"/>
              </w:rPr>
              <w:t>-</w:t>
            </w:r>
          </w:p>
        </w:tc>
      </w:tr>
      <w:tr w:rsidR="00CF59EF" w14:paraId="5F665651"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69B1AB" w14:textId="77777777" w:rsidR="00CF59EF" w:rsidRDefault="000B5D37">
            <w:pPr>
              <w:rPr>
                <w:rFonts w:eastAsia="Calibri"/>
              </w:rPr>
            </w:pPr>
            <w:r>
              <w:rPr>
                <w:rFonts w:eastAsia="Calibri"/>
              </w:rPr>
              <w:t>Relative self-ignition temperature for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D1CCCE"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AAD2F4"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6BA580" w14:textId="77777777" w:rsidR="00CF59EF" w:rsidRDefault="000B5D37">
            <w:pPr>
              <w:rPr>
                <w:rFonts w:eastAsia="Calibri"/>
                <w:strike/>
              </w:rPr>
            </w:pPr>
            <w:r>
              <w:rPr>
                <w:rFonts w:eastAsia="Calibri"/>
              </w:rPr>
              <w:t>Reference is made to endpoint self-heating substances and mixtures.</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B8BE39" w14:textId="77777777" w:rsidR="00CF59EF" w:rsidRDefault="000B5D37">
            <w:pPr>
              <w:rPr>
                <w:rFonts w:eastAsia="Calibri"/>
              </w:rPr>
            </w:pPr>
            <w:r>
              <w:rPr>
                <w:rFonts w:eastAsia="Calibri"/>
              </w:rPr>
              <w:t>-</w:t>
            </w:r>
          </w:p>
        </w:tc>
      </w:tr>
      <w:tr w:rsidR="00CF59EF" w14:paraId="3AD7D926" w14:textId="77777777"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0A3CF3" w14:textId="77777777" w:rsidR="00CF59EF" w:rsidRDefault="000B5D37">
            <w:pPr>
              <w:rPr>
                <w:rFonts w:eastAsia="Calibri"/>
              </w:rPr>
            </w:pPr>
            <w:r>
              <w:rPr>
                <w:rFonts w:eastAsia="Calibri"/>
              </w:rPr>
              <w:t>Dust explosion hazard</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D11E6D" w14:textId="77777777"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892805" w14:textId="77777777"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D11B49" w14:textId="77777777" w:rsidR="00CF59EF" w:rsidRDefault="000B5D37">
            <w:pPr>
              <w:rPr>
                <w:rFonts w:eastAsia="Calibri"/>
              </w:rPr>
            </w:pPr>
            <w:r>
              <w:t xml:space="preserve">Although the presence of dust in the product </w:t>
            </w:r>
            <w:r>
              <w:lastRenderedPageBreak/>
              <w:t>(granules) cannot be excluded, dust explosion hazard is not relevant for this product. Any dispersed dust will not ignite or explode when exposed to an ignition source. High concentrations of dust are not expected during normal use.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10A6B3" w14:textId="77777777" w:rsidR="00CF59EF" w:rsidRDefault="000B5D37">
            <w:pPr>
              <w:rPr>
                <w:rFonts w:eastAsia="Calibri"/>
              </w:rPr>
            </w:pPr>
            <w:r>
              <w:rPr>
                <w:rFonts w:eastAsia="Calibri"/>
              </w:rPr>
              <w:lastRenderedPageBreak/>
              <w:t>-</w:t>
            </w:r>
          </w:p>
        </w:tc>
      </w:tr>
      <w:tr w:rsidR="00CF59EF" w14:paraId="5F844C38" w14:textId="77777777">
        <w:tc>
          <w:tcPr>
            <w:tcW w:w="9310"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B26285" w14:textId="77777777" w:rsidR="00CF59EF" w:rsidRDefault="000B5D37">
            <w:pPr>
              <w:rPr>
                <w:rFonts w:eastAsia="Calibri"/>
                <w:b/>
              </w:rPr>
            </w:pPr>
            <w:proofErr w:type="spellStart"/>
            <w:r>
              <w:rPr>
                <w:rFonts w:eastAsia="Calibri"/>
                <w:b/>
              </w:rPr>
              <w:t>eCA</w:t>
            </w:r>
            <w:proofErr w:type="spellEnd"/>
            <w:r>
              <w:rPr>
                <w:rFonts w:eastAsia="Calibri"/>
                <w:b/>
              </w:rPr>
              <w:t xml:space="preserve"> remark</w:t>
            </w:r>
          </w:p>
          <w:p w14:paraId="277A4862" w14:textId="77777777" w:rsidR="00CF59EF" w:rsidRDefault="000B5D37" w:rsidP="006738CA">
            <w:pPr>
              <w:rPr>
                <w:rFonts w:eastAsia="Calibri"/>
              </w:rPr>
            </w:pPr>
            <w:r>
              <w:rPr>
                <w:rFonts w:eastAsia="Calibri"/>
              </w:rPr>
              <w:t xml:space="preserve">The product is not classified as flammable or explosive by itself and the fact that sodium benzoate is </w:t>
            </w:r>
            <w:r w:rsidR="00896A83">
              <w:rPr>
                <w:rFonts w:eastAsia="Calibri"/>
              </w:rPr>
              <w:t xml:space="preserve">a </w:t>
            </w:r>
            <w:r>
              <w:rPr>
                <w:rFonts w:eastAsia="Calibri"/>
              </w:rPr>
              <w:t xml:space="preserve">salt with a structure which is not easy to oxidise further, the risk of dust explosions is probably limited (expected to belong to Group A as described in the guidance on information requirements). </w:t>
            </w:r>
            <w:r w:rsidR="006738CA">
              <w:rPr>
                <w:rFonts w:eastAsia="Calibri"/>
              </w:rPr>
              <w:t xml:space="preserve">The particle size of the product (&lt;1mm) suggests however that dust explosions may occur and that explosive dust/air mixtures may be formed. Therefore, </w:t>
            </w:r>
            <w:r>
              <w:rPr>
                <w:rFonts w:eastAsia="Calibri"/>
              </w:rPr>
              <w:t xml:space="preserve">the applicant should include in their safety data sheet measures to prevent and/or limit the chance of dust explosions as no test was made available. </w:t>
            </w:r>
          </w:p>
          <w:p w14:paraId="193796B2" w14:textId="77777777" w:rsidR="000C51A9" w:rsidRDefault="000C51A9" w:rsidP="006738CA">
            <w:pPr>
              <w:rPr>
                <w:rFonts w:eastAsia="Calibri"/>
              </w:rPr>
            </w:pPr>
          </w:p>
          <w:p w14:paraId="049CDBE5" w14:textId="77777777" w:rsidR="000C51A9" w:rsidRDefault="000C51A9" w:rsidP="006738CA">
            <w:pPr>
              <w:rPr>
                <w:rFonts w:eastAsia="Calibri"/>
              </w:rPr>
            </w:pPr>
            <w:r>
              <w:rPr>
                <w:rFonts w:eastAsia="Calibri"/>
              </w:rPr>
              <w:t>Considering the above, the following risk mitigation measures are proposed by the applicant:</w:t>
            </w:r>
          </w:p>
          <w:p w14:paraId="10ACA0A2" w14:textId="77777777" w:rsidR="000C51A9" w:rsidRDefault="000C51A9" w:rsidP="006738CA">
            <w:pPr>
              <w:rPr>
                <w:rFonts w:eastAsia="Calibri"/>
                <w:i/>
              </w:rPr>
            </w:pPr>
            <w:r w:rsidRPr="000C51A9">
              <w:rPr>
                <w:rFonts w:eastAsia="Calibri"/>
                <w:i/>
              </w:rPr>
              <w:t>As a precaution to control dust explosion potential: eliminate ignition sources (e.g., sparks, static build-up, excessive heat, etc.), use spark-proof tools and equipment and prevent accumulation of dust (e.g., well-ventilated conditions, promptly vacuuming spills, cleaning overhead horizontal surfaces, etc.).</w:t>
            </w:r>
          </w:p>
          <w:p w14:paraId="499B226B" w14:textId="77777777" w:rsidR="000C51A9" w:rsidRPr="000C51A9" w:rsidRDefault="000C51A9" w:rsidP="000C51A9">
            <w:pPr>
              <w:rPr>
                <w:rFonts w:ascii="ArialUnicodeMS" w:hAnsi="ArialUnicodeMS"/>
                <w:sz w:val="18"/>
                <w:szCs w:val="18"/>
              </w:rPr>
            </w:pPr>
            <w:r w:rsidRPr="000C51A9">
              <w:rPr>
                <w:rFonts w:eastAsia="Calibri"/>
              </w:rPr>
              <w:t>These measures are included in the SPC.</w:t>
            </w:r>
          </w:p>
        </w:tc>
      </w:tr>
    </w:tbl>
    <w:p w14:paraId="716CE904" w14:textId="77777777" w:rsidR="00CF59EF" w:rsidRDefault="00CF59EF">
      <w:pPr>
        <w:pStyle w:val="Absatz"/>
        <w:rPr>
          <w:rFonts w:eastAsia="Calibri"/>
          <w:lang w:eastAsia="en-US"/>
        </w:rPr>
      </w:pPr>
      <w:bookmarkStart w:id="1288" w:name="_Toc389729031"/>
      <w:bookmarkStart w:id="1289" w:name="_Toc389728673"/>
      <w:bookmarkStart w:id="1290" w:name="_Toc389728313"/>
      <w:bookmarkStart w:id="1291" w:name="_Toc389727954"/>
      <w:bookmarkStart w:id="1292" w:name="_Toc389727595"/>
      <w:bookmarkStart w:id="1293" w:name="_Toc389727237"/>
      <w:bookmarkStart w:id="1294" w:name="_Toc389726185"/>
      <w:bookmarkEnd w:id="1288"/>
      <w:bookmarkEnd w:id="1289"/>
      <w:bookmarkEnd w:id="1290"/>
      <w:bookmarkEnd w:id="1291"/>
      <w:bookmarkEnd w:id="1292"/>
      <w:bookmarkEnd w:id="1293"/>
      <w:bookmarkEnd w:id="1294"/>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14:paraId="3FE77521" w14:textId="77777777">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7A343523" w14:textId="77777777" w:rsidR="00CF59EF" w:rsidRDefault="000B5D37">
            <w:pPr>
              <w:spacing w:line="260" w:lineRule="atLeast"/>
              <w:rPr>
                <w:rFonts w:eastAsia="Calibri"/>
                <w:b/>
                <w:bCs/>
                <w:lang w:eastAsia="en-US"/>
              </w:rPr>
            </w:pPr>
            <w:r>
              <w:rPr>
                <w:rFonts w:eastAsia="Calibri"/>
                <w:b/>
                <w:bCs/>
                <w:lang w:eastAsia="en-US"/>
              </w:rPr>
              <w:t>Conclusion on the physical hazards and respective characteristics of the product</w:t>
            </w:r>
          </w:p>
        </w:tc>
      </w:tr>
      <w:tr w:rsidR="00CF59EF" w14:paraId="6BC4CB00" w14:textId="77777777">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2D853EBE" w14:textId="77777777" w:rsidR="00CF59EF" w:rsidRDefault="000B5D37" w:rsidP="00130A1D">
            <w:pPr>
              <w:rPr>
                <w:rFonts w:eastAsia="Calibri"/>
                <w:lang w:val="en-US"/>
              </w:rPr>
            </w:pPr>
            <w:r>
              <w:rPr>
                <w:rFonts w:eastAsia="Calibri"/>
                <w:lang w:val="en-US"/>
              </w:rPr>
              <w:t>The product is regarded to be not flammable, not explosive, not oxidizing and no</w:t>
            </w:r>
            <w:r w:rsidR="00896A83">
              <w:rPr>
                <w:rFonts w:eastAsia="Calibri"/>
                <w:lang w:val="en-US"/>
              </w:rPr>
              <w:t>t</w:t>
            </w:r>
            <w:r>
              <w:rPr>
                <w:rFonts w:eastAsia="Calibri"/>
                <w:lang w:val="en-US"/>
              </w:rPr>
              <w:t xml:space="preserve"> flammable in contact with air or water</w:t>
            </w:r>
            <w:r w:rsidR="00681384">
              <w:rPr>
                <w:rFonts w:eastAsia="Calibri"/>
                <w:lang w:val="en-US"/>
              </w:rPr>
              <w:t>.</w:t>
            </w:r>
            <w:r>
              <w:rPr>
                <w:rFonts w:eastAsia="Calibri"/>
                <w:lang w:val="en-US"/>
              </w:rPr>
              <w:t xml:space="preserve"> The product is not a </w:t>
            </w:r>
            <w:r>
              <w:rPr>
                <w:rFonts w:cs="Verdana"/>
                <w:lang w:val="en-US" w:eastAsia="nl-NL"/>
              </w:rPr>
              <w:t>self-reactive or self-heating substance.</w:t>
            </w:r>
            <w:r w:rsidR="000A50FE">
              <w:rPr>
                <w:rFonts w:cs="Verdana"/>
                <w:lang w:val="en-US" w:eastAsia="nl-NL"/>
              </w:rPr>
              <w:t xml:space="preserve"> The product is not classified with regard to </w:t>
            </w:r>
            <w:r w:rsidR="00130A1D">
              <w:rPr>
                <w:rFonts w:cs="Verdana"/>
                <w:lang w:val="en-US" w:eastAsia="nl-NL"/>
              </w:rPr>
              <w:t>its</w:t>
            </w:r>
            <w:r w:rsidR="000A50FE">
              <w:rPr>
                <w:rFonts w:cs="Verdana"/>
                <w:lang w:val="en-US" w:eastAsia="nl-NL"/>
              </w:rPr>
              <w:t xml:space="preserve"> physical characteristics.</w:t>
            </w:r>
          </w:p>
        </w:tc>
      </w:tr>
    </w:tbl>
    <w:p w14:paraId="77AC9FE1" w14:textId="77777777" w:rsidR="00CF59EF" w:rsidRDefault="00CF59EF">
      <w:pPr>
        <w:pStyle w:val="Absatz"/>
        <w:rPr>
          <w:rFonts w:eastAsia="Calibri"/>
          <w:lang w:eastAsia="en-US"/>
        </w:rPr>
      </w:pPr>
    </w:p>
    <w:p w14:paraId="347E75B2" w14:textId="77777777" w:rsidR="00CF59EF" w:rsidRDefault="000B5D37" w:rsidP="00172945">
      <w:pPr>
        <w:pStyle w:val="Heading2"/>
        <w:numPr>
          <w:ilvl w:val="2"/>
          <w:numId w:val="2"/>
        </w:numPr>
        <w:ind w:left="720"/>
      </w:pPr>
      <w:bookmarkStart w:id="1295" w:name="_Toc403566563"/>
      <w:bookmarkStart w:id="1296" w:name="_Toc531868655"/>
      <w:bookmarkEnd w:id="1295"/>
      <w:r>
        <w:t>Methods for detection and identification</w:t>
      </w:r>
      <w:bookmarkEnd w:id="1296"/>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31"/>
        <w:gridCol w:w="930"/>
        <w:gridCol w:w="1358"/>
        <w:gridCol w:w="848"/>
        <w:gridCol w:w="967"/>
        <w:gridCol w:w="587"/>
        <w:gridCol w:w="519"/>
        <w:gridCol w:w="761"/>
        <w:gridCol w:w="1253"/>
        <w:gridCol w:w="946"/>
      </w:tblGrid>
      <w:tr w:rsidR="00CF59EF" w14:paraId="3577EC9F" w14:textId="77777777" w:rsidTr="00420AD6">
        <w:tc>
          <w:tcPr>
            <w:tcW w:w="9353"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72760A59" w14:textId="77777777" w:rsidR="00CF59EF" w:rsidRDefault="000B5D37">
            <w:pPr>
              <w:keepNext/>
              <w:widowControl w:val="0"/>
              <w:spacing w:before="60" w:after="60"/>
              <w:jc w:val="center"/>
              <w:rPr>
                <w:b/>
                <w:bCs/>
                <w:sz w:val="18"/>
                <w:szCs w:val="18"/>
              </w:rPr>
            </w:pPr>
            <w:r>
              <w:rPr>
                <w:rFonts w:eastAsia="Calibri"/>
                <w:b/>
              </w:rPr>
              <w:t>Analytical methods for the analysis of the product as such including the active substance, impurities and residues</w:t>
            </w:r>
          </w:p>
        </w:tc>
      </w:tr>
      <w:tr w:rsidR="00CF59EF" w14:paraId="4B83BF70" w14:textId="77777777" w:rsidTr="00420AD6">
        <w:tc>
          <w:tcPr>
            <w:tcW w:w="1296"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54BD6601"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6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00FF10D4" w14:textId="77777777" w:rsidR="00CF59EF" w:rsidRDefault="000B5D37" w:rsidP="005459B4">
            <w:pPr>
              <w:keepNext/>
              <w:widowControl w:val="0"/>
              <w:spacing w:before="60" w:after="60"/>
              <w:rPr>
                <w:b/>
                <w:bCs/>
                <w:sz w:val="18"/>
                <w:szCs w:val="18"/>
              </w:rPr>
            </w:pPr>
            <w:r>
              <w:rPr>
                <w:b/>
                <w:bCs/>
                <w:sz w:val="18"/>
                <w:szCs w:val="18"/>
              </w:rPr>
              <w:t xml:space="preserve">Analytical method </w:t>
            </w:r>
          </w:p>
        </w:tc>
        <w:tc>
          <w:tcPr>
            <w:tcW w:w="1363"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4354E09"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79"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BFF91E1" w14:textId="77777777" w:rsidR="00CF59EF" w:rsidRDefault="000B5D37" w:rsidP="005459B4">
            <w:pPr>
              <w:keepNext/>
              <w:widowControl w:val="0"/>
              <w:spacing w:before="60" w:after="60"/>
              <w:rPr>
                <w:b/>
                <w:bCs/>
                <w:sz w:val="18"/>
                <w:szCs w:val="18"/>
              </w:rPr>
            </w:pPr>
            <w:r>
              <w:rPr>
                <w:b/>
                <w:bCs/>
                <w:sz w:val="18"/>
                <w:szCs w:val="18"/>
              </w:rPr>
              <w:t xml:space="preserve">Linearity </w:t>
            </w:r>
          </w:p>
        </w:tc>
        <w:tc>
          <w:tcPr>
            <w:tcW w:w="97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68C252D" w14:textId="77777777" w:rsidR="00CF59EF" w:rsidRDefault="000B5D37">
            <w:pPr>
              <w:keepNext/>
              <w:widowControl w:val="0"/>
              <w:spacing w:before="60" w:after="60"/>
              <w:rPr>
                <w:b/>
                <w:bCs/>
                <w:sz w:val="18"/>
                <w:szCs w:val="18"/>
              </w:rPr>
            </w:pPr>
            <w:r>
              <w:rPr>
                <w:b/>
                <w:bCs/>
                <w:sz w:val="18"/>
                <w:szCs w:val="18"/>
              </w:rPr>
              <w:t>Specificity</w:t>
            </w:r>
          </w:p>
        </w:tc>
        <w:tc>
          <w:tcPr>
            <w:tcW w:w="1675"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97B1148" w14:textId="77777777" w:rsidR="00CF59EF" w:rsidRDefault="000B5D37">
            <w:pPr>
              <w:keepNext/>
              <w:widowControl w:val="0"/>
              <w:spacing w:before="60" w:after="60"/>
              <w:rPr>
                <w:b/>
                <w:bCs/>
                <w:sz w:val="18"/>
                <w:szCs w:val="18"/>
              </w:rPr>
            </w:pPr>
            <w:r>
              <w:rPr>
                <w:b/>
                <w:bCs/>
                <w:sz w:val="18"/>
                <w:szCs w:val="18"/>
              </w:rPr>
              <w:t>Recovery rate (%)</w:t>
            </w:r>
          </w:p>
        </w:tc>
        <w:tc>
          <w:tcPr>
            <w:tcW w:w="125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152BA24"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950"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1DBBDFC1" w14:textId="77777777" w:rsidR="00CF59EF" w:rsidRDefault="000B5D37">
            <w:pPr>
              <w:keepNext/>
              <w:widowControl w:val="0"/>
              <w:spacing w:before="60" w:after="60"/>
              <w:rPr>
                <w:b/>
                <w:bCs/>
                <w:sz w:val="18"/>
                <w:szCs w:val="18"/>
              </w:rPr>
            </w:pPr>
            <w:r>
              <w:rPr>
                <w:b/>
                <w:bCs/>
                <w:sz w:val="18"/>
                <w:szCs w:val="18"/>
              </w:rPr>
              <w:t>Reference</w:t>
            </w:r>
          </w:p>
        </w:tc>
      </w:tr>
      <w:tr w:rsidR="00CF59EF" w14:paraId="1D04E63B" w14:textId="77777777" w:rsidTr="00420AD6">
        <w:tc>
          <w:tcPr>
            <w:tcW w:w="1296"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1853FABD" w14:textId="77777777" w:rsidR="00CF59EF" w:rsidRDefault="00CF59EF">
            <w:pPr>
              <w:spacing w:before="60" w:after="60"/>
              <w:rPr>
                <w:i/>
                <w:sz w:val="18"/>
                <w:szCs w:val="18"/>
              </w:rPr>
            </w:pPr>
          </w:p>
        </w:tc>
        <w:tc>
          <w:tcPr>
            <w:tcW w:w="962"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8C6F056" w14:textId="77777777" w:rsidR="00CF59EF" w:rsidRDefault="00CF59EF">
            <w:pPr>
              <w:spacing w:before="60" w:after="60"/>
              <w:rPr>
                <w:sz w:val="18"/>
                <w:szCs w:val="18"/>
              </w:rPr>
            </w:pPr>
          </w:p>
        </w:tc>
        <w:tc>
          <w:tcPr>
            <w:tcW w:w="1363"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2FEFE9E" w14:textId="77777777" w:rsidR="00CF59EF" w:rsidRDefault="00CF59EF">
            <w:pPr>
              <w:spacing w:before="60" w:after="60"/>
              <w:rPr>
                <w:sz w:val="18"/>
                <w:szCs w:val="18"/>
              </w:rPr>
            </w:pPr>
          </w:p>
        </w:tc>
        <w:tc>
          <w:tcPr>
            <w:tcW w:w="879"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B7AB209" w14:textId="77777777" w:rsidR="00CF59EF" w:rsidRDefault="00CF59EF">
            <w:pPr>
              <w:spacing w:before="60" w:after="60"/>
              <w:rPr>
                <w:sz w:val="18"/>
                <w:szCs w:val="18"/>
              </w:rPr>
            </w:pPr>
          </w:p>
        </w:tc>
        <w:tc>
          <w:tcPr>
            <w:tcW w:w="970"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0CFDC7" w14:textId="77777777" w:rsidR="00CF59EF" w:rsidRDefault="00CF59EF">
            <w:pPr>
              <w:spacing w:before="60" w:after="60"/>
              <w:rPr>
                <w:sz w:val="18"/>
                <w:szCs w:val="18"/>
              </w:rPr>
            </w:pPr>
          </w:p>
        </w:tc>
        <w:tc>
          <w:tcPr>
            <w:tcW w:w="58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6709488" w14:textId="77777777" w:rsidR="00CF59EF" w:rsidRDefault="000B5D37">
            <w:pPr>
              <w:spacing w:before="60" w:after="60"/>
              <w:rPr>
                <w:sz w:val="18"/>
                <w:szCs w:val="18"/>
              </w:rPr>
            </w:pPr>
            <w:r>
              <w:rPr>
                <w:sz w:val="18"/>
                <w:szCs w:val="18"/>
              </w:rPr>
              <w:t>Range</w:t>
            </w:r>
          </w:p>
        </w:tc>
        <w:tc>
          <w:tcPr>
            <w:tcW w:w="52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7FF0C10" w14:textId="77777777" w:rsidR="00CF59EF" w:rsidRDefault="000B5D37">
            <w:pPr>
              <w:spacing w:before="60" w:after="60"/>
              <w:rPr>
                <w:sz w:val="18"/>
                <w:szCs w:val="18"/>
              </w:rPr>
            </w:pPr>
            <w:r>
              <w:rPr>
                <w:sz w:val="18"/>
                <w:szCs w:val="18"/>
              </w:rPr>
              <w:t>Mean</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7E6F71" w14:textId="77777777" w:rsidR="00CF59EF" w:rsidRDefault="000B5D37">
            <w:pPr>
              <w:spacing w:before="60" w:after="60"/>
              <w:rPr>
                <w:sz w:val="18"/>
                <w:szCs w:val="18"/>
              </w:rPr>
            </w:pPr>
            <w:r>
              <w:rPr>
                <w:sz w:val="18"/>
                <w:szCs w:val="18"/>
              </w:rPr>
              <w:t>V.C.</w:t>
            </w:r>
          </w:p>
        </w:tc>
        <w:tc>
          <w:tcPr>
            <w:tcW w:w="125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38633A5" w14:textId="77777777" w:rsidR="00CF59EF" w:rsidRDefault="00CF59EF">
            <w:pPr>
              <w:spacing w:before="60" w:after="60"/>
              <w:rPr>
                <w:sz w:val="18"/>
                <w:szCs w:val="18"/>
              </w:rPr>
            </w:pPr>
          </w:p>
        </w:tc>
        <w:tc>
          <w:tcPr>
            <w:tcW w:w="950"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3E780281" w14:textId="77777777" w:rsidR="00CF59EF" w:rsidRDefault="00CF59EF">
            <w:pPr>
              <w:spacing w:before="60" w:after="60"/>
              <w:rPr>
                <w:sz w:val="18"/>
                <w:szCs w:val="18"/>
              </w:rPr>
            </w:pPr>
          </w:p>
        </w:tc>
      </w:tr>
      <w:tr w:rsidR="00CF59EF" w14:paraId="52EB1325" w14:textId="77777777" w:rsidTr="00420AD6">
        <w:tc>
          <w:tcPr>
            <w:tcW w:w="1296"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60013754" w14:textId="77777777" w:rsidR="00CF59EF" w:rsidRPr="00357C91" w:rsidRDefault="000B5D37">
            <w:pPr>
              <w:spacing w:before="60" w:after="60"/>
              <w:rPr>
                <w:sz w:val="18"/>
                <w:szCs w:val="18"/>
                <w:lang w:val="en-US"/>
              </w:rPr>
            </w:pPr>
            <w:r w:rsidRPr="00357C91">
              <w:rPr>
                <w:sz w:val="18"/>
                <w:szCs w:val="18"/>
                <w:lang w:val="en-US"/>
              </w:rPr>
              <w:t>Sodium benzoate</w:t>
            </w:r>
            <w:r w:rsidR="008B5F83" w:rsidRPr="00357C91">
              <w:rPr>
                <w:sz w:val="18"/>
                <w:szCs w:val="18"/>
                <w:lang w:val="en-US"/>
              </w:rPr>
              <w:t xml:space="preserve"> (detected as benzoic acid due </w:t>
            </w:r>
            <w:r w:rsidR="008B5F83" w:rsidRPr="00357C91">
              <w:rPr>
                <w:sz w:val="18"/>
                <w:szCs w:val="18"/>
                <w:lang w:val="en-US"/>
              </w:rPr>
              <w:lastRenderedPageBreak/>
              <w:t>to pH of the mobile phase)</w:t>
            </w:r>
          </w:p>
          <w:p w14:paraId="29B47FD0" w14:textId="77777777" w:rsidR="00CF59EF" w:rsidRPr="00357C91" w:rsidRDefault="00CF59EF">
            <w:pPr>
              <w:spacing w:before="60" w:after="60"/>
              <w:rPr>
                <w:sz w:val="18"/>
                <w:szCs w:val="18"/>
                <w:lang w:val="en-US"/>
              </w:rPr>
            </w:pPr>
          </w:p>
          <w:p w14:paraId="0C98106E" w14:textId="77777777" w:rsidR="00CF59EF" w:rsidRDefault="000B5D37">
            <w:pPr>
              <w:spacing w:before="60" w:after="60"/>
              <w:rPr>
                <w:sz w:val="18"/>
                <w:szCs w:val="18"/>
                <w:lang w:val="de-DE"/>
              </w:rPr>
            </w:pPr>
            <w:r>
              <w:rPr>
                <w:sz w:val="18"/>
                <w:szCs w:val="18"/>
                <w:lang w:val="de-DE"/>
              </w:rPr>
              <w:t>Batch</w:t>
            </w:r>
          </w:p>
          <w:p w14:paraId="40BAF279" w14:textId="77777777" w:rsidR="00CF59EF" w:rsidRDefault="000B5D37">
            <w:pPr>
              <w:spacing w:before="60" w:after="60"/>
              <w:rPr>
                <w:sz w:val="18"/>
                <w:szCs w:val="18"/>
                <w:lang w:val="de-DE"/>
              </w:rPr>
            </w:pPr>
            <w:r>
              <w:rPr>
                <w:sz w:val="18"/>
                <w:szCs w:val="18"/>
                <w:lang w:val="de-DE"/>
              </w:rPr>
              <w:t>1748-4</w:t>
            </w:r>
          </w:p>
        </w:tc>
        <w:tc>
          <w:tcPr>
            <w:tcW w:w="96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F4F3BB" w14:textId="77777777" w:rsidR="00CF59EF" w:rsidRDefault="000B5D37">
            <w:pPr>
              <w:spacing w:before="60" w:after="60"/>
              <w:rPr>
                <w:sz w:val="18"/>
                <w:szCs w:val="18"/>
              </w:rPr>
            </w:pPr>
            <w:r>
              <w:rPr>
                <w:sz w:val="18"/>
                <w:szCs w:val="18"/>
              </w:rPr>
              <w:lastRenderedPageBreak/>
              <w:t>HPLC-UV (</w:t>
            </w:r>
            <w:proofErr w:type="spellStart"/>
            <w:r>
              <w:rPr>
                <w:sz w:val="18"/>
                <w:szCs w:val="18"/>
              </w:rPr>
              <w:t>a.s</w:t>
            </w:r>
            <w:proofErr w:type="spellEnd"/>
            <w:r>
              <w:rPr>
                <w:sz w:val="18"/>
                <w:szCs w:val="18"/>
              </w:rPr>
              <w:t>)</w:t>
            </w:r>
          </w:p>
        </w:tc>
        <w:tc>
          <w:tcPr>
            <w:tcW w:w="136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6373CB9" w14:textId="77777777" w:rsidR="0000502D" w:rsidRDefault="0000502D" w:rsidP="0000502D">
            <w:pPr>
              <w:spacing w:before="60" w:after="60"/>
              <w:rPr>
                <w:bCs/>
                <w:sz w:val="16"/>
                <w:szCs w:val="16"/>
              </w:rPr>
            </w:pPr>
            <w:r>
              <w:rPr>
                <w:bCs/>
                <w:sz w:val="16"/>
                <w:szCs w:val="16"/>
              </w:rPr>
              <w:t>Not relevant</w:t>
            </w:r>
          </w:p>
          <w:p w14:paraId="402185B6" w14:textId="77777777" w:rsidR="0000502D" w:rsidRDefault="0000502D" w:rsidP="0000502D">
            <w:pPr>
              <w:spacing w:before="60" w:after="60"/>
              <w:rPr>
                <w:bCs/>
                <w:sz w:val="16"/>
                <w:szCs w:val="16"/>
              </w:rPr>
            </w:pPr>
          </w:p>
          <w:p w14:paraId="61135E5F" w14:textId="77777777" w:rsidR="00CF59EF" w:rsidRDefault="0000502D" w:rsidP="0000502D">
            <w:pPr>
              <w:spacing w:before="60" w:after="60"/>
              <w:rPr>
                <w:bCs/>
                <w:sz w:val="16"/>
                <w:szCs w:val="16"/>
              </w:rPr>
            </w:pPr>
            <w:r>
              <w:rPr>
                <w:bCs/>
                <w:sz w:val="16"/>
                <w:szCs w:val="16"/>
              </w:rPr>
              <w:t>However, 50:50 w/w (</w:t>
            </w:r>
            <w:proofErr w:type="spellStart"/>
            <w:r>
              <w:rPr>
                <w:bCs/>
                <w:sz w:val="16"/>
                <w:szCs w:val="16"/>
              </w:rPr>
              <w:t>standard:product</w:t>
            </w:r>
            <w:proofErr w:type="spellEnd"/>
            <w:r>
              <w:rPr>
                <w:bCs/>
                <w:sz w:val="16"/>
                <w:szCs w:val="16"/>
              </w:rPr>
              <w:t xml:space="preserve">) spiking </w:t>
            </w:r>
            <w:r>
              <w:rPr>
                <w:bCs/>
                <w:sz w:val="16"/>
                <w:szCs w:val="16"/>
              </w:rPr>
              <w:lastRenderedPageBreak/>
              <w:t>experiment (n = 3) resulted in the reported values (see column recovery rate)</w:t>
            </w:r>
          </w:p>
        </w:tc>
        <w:tc>
          <w:tcPr>
            <w:tcW w:w="87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F1858C0" w14:textId="77777777" w:rsidR="0000502D" w:rsidRDefault="0000502D" w:rsidP="0000502D">
            <w:pPr>
              <w:rPr>
                <w:sz w:val="16"/>
                <w:szCs w:val="16"/>
                <w:lang w:val="en-US"/>
              </w:rPr>
            </w:pPr>
            <w:r>
              <w:rPr>
                <w:sz w:val="16"/>
                <w:szCs w:val="16"/>
                <w:lang w:val="en-US"/>
              </w:rPr>
              <w:lastRenderedPageBreak/>
              <w:t>Approx. 80.0-120.0 mg/L (80 – 120% purity)</w:t>
            </w:r>
          </w:p>
          <w:p w14:paraId="2411895B" w14:textId="77777777" w:rsidR="0000502D" w:rsidRDefault="0000502D" w:rsidP="0000502D">
            <w:pPr>
              <w:rPr>
                <w:sz w:val="16"/>
                <w:szCs w:val="16"/>
                <w:lang w:val="en-US"/>
              </w:rPr>
            </w:pPr>
          </w:p>
          <w:p w14:paraId="4FCF2619" w14:textId="77777777" w:rsidR="0000502D" w:rsidRDefault="0000502D" w:rsidP="0000502D">
            <w:pPr>
              <w:rPr>
                <w:sz w:val="16"/>
                <w:szCs w:val="16"/>
                <w:lang w:val="en-US"/>
              </w:rPr>
            </w:pPr>
            <w:r>
              <w:rPr>
                <w:sz w:val="16"/>
                <w:szCs w:val="16"/>
                <w:lang w:val="en-US"/>
              </w:rPr>
              <w:t>n=10</w:t>
            </w:r>
          </w:p>
          <w:p w14:paraId="58F57635" w14:textId="77777777" w:rsidR="0000502D" w:rsidRDefault="0000502D" w:rsidP="0000502D">
            <w:pPr>
              <w:rPr>
                <w:sz w:val="16"/>
                <w:szCs w:val="16"/>
                <w:lang w:val="en-US"/>
              </w:rPr>
            </w:pPr>
            <w:r>
              <w:rPr>
                <w:sz w:val="16"/>
                <w:szCs w:val="16"/>
                <w:lang w:val="en-US"/>
              </w:rPr>
              <w:t>R</w:t>
            </w:r>
            <w:r>
              <w:rPr>
                <w:sz w:val="16"/>
                <w:szCs w:val="16"/>
                <w:vertAlign w:val="superscript"/>
                <w:lang w:val="en-US"/>
              </w:rPr>
              <w:t>2</w:t>
            </w:r>
            <w:r>
              <w:rPr>
                <w:sz w:val="16"/>
                <w:szCs w:val="16"/>
                <w:lang w:val="en-US"/>
              </w:rPr>
              <w:t xml:space="preserve"> = 0.9981</w:t>
            </w:r>
          </w:p>
          <w:p w14:paraId="5BC4A306" w14:textId="77777777" w:rsidR="0000502D" w:rsidRDefault="0000502D" w:rsidP="0000502D">
            <w:pPr>
              <w:rPr>
                <w:sz w:val="16"/>
                <w:szCs w:val="16"/>
                <w:lang w:val="en-US"/>
              </w:rPr>
            </w:pPr>
            <w:r>
              <w:rPr>
                <w:sz w:val="16"/>
                <w:szCs w:val="16"/>
                <w:lang w:val="en-US"/>
              </w:rPr>
              <w:t>Slope</w:t>
            </w:r>
          </w:p>
          <w:p w14:paraId="21AEF9DE" w14:textId="77777777" w:rsidR="0000502D" w:rsidRDefault="0000502D" w:rsidP="0000502D">
            <w:pPr>
              <w:rPr>
                <w:sz w:val="16"/>
                <w:szCs w:val="16"/>
                <w:lang w:val="en-US"/>
              </w:rPr>
            </w:pPr>
            <w:r>
              <w:rPr>
                <w:sz w:val="16"/>
                <w:szCs w:val="16"/>
                <w:lang w:val="en-US"/>
              </w:rPr>
              <w:t>0.6433</w:t>
            </w:r>
          </w:p>
          <w:p w14:paraId="50B48793" w14:textId="77777777" w:rsidR="00CF59EF" w:rsidRDefault="00CF59EF">
            <w:pPr>
              <w:rPr>
                <w:sz w:val="16"/>
                <w:szCs w:val="16"/>
                <w:lang w:val="en-US"/>
              </w:rPr>
            </w:pPr>
          </w:p>
        </w:tc>
        <w:tc>
          <w:tcPr>
            <w:tcW w:w="97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8C1E8A5" w14:textId="77777777" w:rsidR="00CF59EF" w:rsidRDefault="0000502D">
            <w:pPr>
              <w:rPr>
                <w:sz w:val="16"/>
                <w:szCs w:val="16"/>
              </w:rPr>
            </w:pPr>
            <w:r>
              <w:rPr>
                <w:sz w:val="16"/>
                <w:szCs w:val="16"/>
              </w:rPr>
              <w:lastRenderedPageBreak/>
              <w:t>no interference</w:t>
            </w:r>
          </w:p>
        </w:tc>
        <w:tc>
          <w:tcPr>
            <w:tcW w:w="58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206DE68" w14:textId="77777777" w:rsidR="00CF59EF" w:rsidRDefault="000B5D37">
            <w:pPr>
              <w:spacing w:before="60" w:after="60"/>
              <w:rPr>
                <w:sz w:val="16"/>
                <w:szCs w:val="16"/>
              </w:rPr>
            </w:pPr>
            <w:r>
              <w:rPr>
                <w:sz w:val="16"/>
                <w:szCs w:val="16"/>
              </w:rPr>
              <w:t>98.8-102</w:t>
            </w:r>
          </w:p>
        </w:tc>
        <w:tc>
          <w:tcPr>
            <w:tcW w:w="52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C8EF4CD" w14:textId="77777777" w:rsidR="00CF59EF" w:rsidRDefault="000B5D37">
            <w:pPr>
              <w:spacing w:before="60" w:after="60"/>
              <w:rPr>
                <w:sz w:val="16"/>
                <w:szCs w:val="16"/>
              </w:rPr>
            </w:pPr>
            <w:r>
              <w:rPr>
                <w:sz w:val="16"/>
                <w:szCs w:val="16"/>
              </w:rPr>
              <w:t>100</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3523F14" w14:textId="77777777" w:rsidR="0000502D" w:rsidRDefault="0000502D" w:rsidP="0000502D">
            <w:pPr>
              <w:spacing w:before="60" w:after="60"/>
              <w:rPr>
                <w:sz w:val="16"/>
                <w:szCs w:val="16"/>
              </w:rPr>
            </w:pPr>
            <w:r>
              <w:rPr>
                <w:sz w:val="16"/>
                <w:szCs w:val="16"/>
              </w:rPr>
              <w:t>Precision:</w:t>
            </w:r>
          </w:p>
          <w:p w14:paraId="354AD49B" w14:textId="77777777" w:rsidR="0000502D" w:rsidRDefault="0000502D" w:rsidP="0000502D">
            <w:pPr>
              <w:spacing w:before="60" w:after="60"/>
              <w:rPr>
                <w:sz w:val="16"/>
                <w:szCs w:val="16"/>
              </w:rPr>
            </w:pPr>
            <w:r>
              <w:rPr>
                <w:sz w:val="16"/>
                <w:szCs w:val="16"/>
              </w:rPr>
              <w:t>1.23%</w:t>
            </w:r>
          </w:p>
          <w:p w14:paraId="12CB1F58" w14:textId="77777777" w:rsidR="00CF59EF" w:rsidRDefault="0000502D" w:rsidP="0000502D">
            <w:pPr>
              <w:spacing w:before="60" w:after="60"/>
              <w:rPr>
                <w:sz w:val="16"/>
                <w:szCs w:val="16"/>
              </w:rPr>
            </w:pPr>
            <w:r>
              <w:rPr>
                <w:sz w:val="16"/>
                <w:szCs w:val="16"/>
              </w:rPr>
              <w:t>(n=10)</w:t>
            </w:r>
          </w:p>
        </w:tc>
        <w:tc>
          <w:tcPr>
            <w:tcW w:w="125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57E2F10" w14:textId="77777777" w:rsidR="00CF59EF" w:rsidRDefault="0000502D">
            <w:pPr>
              <w:spacing w:before="60" w:after="60"/>
              <w:rPr>
                <w:sz w:val="16"/>
                <w:szCs w:val="16"/>
                <w:lang w:val="en-US"/>
              </w:rPr>
            </w:pPr>
            <w:r>
              <w:rPr>
                <w:sz w:val="16"/>
                <w:szCs w:val="16"/>
                <w:lang w:val="en-US"/>
              </w:rPr>
              <w:t>Not relevant</w:t>
            </w:r>
          </w:p>
        </w:tc>
        <w:tc>
          <w:tcPr>
            <w:tcW w:w="950"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24E04637" w14:textId="77777777" w:rsidR="00CF59EF" w:rsidRDefault="000B5D37">
            <w:pPr>
              <w:spacing w:before="60" w:after="60"/>
              <w:rPr>
                <w:sz w:val="18"/>
                <w:szCs w:val="18"/>
              </w:rPr>
            </w:pPr>
            <w:r>
              <w:rPr>
                <w:sz w:val="18"/>
                <w:szCs w:val="18"/>
              </w:rPr>
              <w:t>Ref no. 2.2.</w:t>
            </w:r>
            <w:r w:rsidR="006501C5">
              <w:rPr>
                <w:sz w:val="18"/>
                <w:szCs w:val="18"/>
              </w:rPr>
              <w:t>3</w:t>
            </w:r>
            <w:r>
              <w:rPr>
                <w:sz w:val="18"/>
                <w:szCs w:val="18"/>
              </w:rPr>
              <w:t>-</w:t>
            </w:r>
            <w:r w:rsidR="006501C5">
              <w:rPr>
                <w:sz w:val="18"/>
                <w:szCs w:val="18"/>
              </w:rPr>
              <w:t>01</w:t>
            </w:r>
          </w:p>
          <w:p w14:paraId="4AF277CF" w14:textId="77777777" w:rsidR="00CF59EF" w:rsidRDefault="000B5D37">
            <w:pPr>
              <w:spacing w:before="60" w:after="60"/>
              <w:rPr>
                <w:sz w:val="18"/>
                <w:szCs w:val="18"/>
              </w:rPr>
            </w:pPr>
            <w:r>
              <w:rPr>
                <w:sz w:val="18"/>
                <w:szCs w:val="18"/>
              </w:rPr>
              <w:t>(</w:t>
            </w:r>
            <w:proofErr w:type="spellStart"/>
            <w:r w:rsidR="002F4C58" w:rsidRPr="002F4C58">
              <w:rPr>
                <w:rFonts w:eastAsia="Calibri"/>
                <w:highlight w:val="black"/>
              </w:rPr>
              <w:t>xxxxx</w:t>
            </w:r>
            <w:proofErr w:type="spellEnd"/>
            <w:r>
              <w:rPr>
                <w:sz w:val="18"/>
                <w:szCs w:val="18"/>
              </w:rPr>
              <w:t>)</w:t>
            </w:r>
          </w:p>
        </w:tc>
      </w:tr>
      <w:tr w:rsidR="00CF59EF" w14:paraId="7C79FE27" w14:textId="77777777" w:rsidTr="00420AD6">
        <w:tc>
          <w:tcPr>
            <w:tcW w:w="9353" w:type="dxa"/>
            <w:gridSpan w:val="10"/>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1F4A4F34" w14:textId="77777777" w:rsidR="00CF59EF" w:rsidRDefault="000B5D37">
            <w:pPr>
              <w:rPr>
                <w:sz w:val="16"/>
                <w:szCs w:val="16"/>
              </w:rPr>
            </w:pPr>
            <w:r w:rsidRPr="005459B4">
              <w:rPr>
                <w:b/>
                <w:sz w:val="16"/>
                <w:szCs w:val="16"/>
              </w:rPr>
              <w:t>method conditions and sample preparation:</w:t>
            </w:r>
            <w:r>
              <w:rPr>
                <w:sz w:val="16"/>
                <w:szCs w:val="16"/>
              </w:rPr>
              <w:t xml:space="preserve"> </w:t>
            </w:r>
          </w:p>
          <w:p w14:paraId="00CD52CA" w14:textId="77777777" w:rsidR="00CF59EF" w:rsidRDefault="00CF59EF">
            <w:pPr>
              <w:rPr>
                <w:sz w:val="16"/>
                <w:szCs w:val="16"/>
              </w:rPr>
            </w:pPr>
          </w:p>
          <w:p w14:paraId="5FEDBB24" w14:textId="77777777" w:rsidR="00CF59EF" w:rsidRDefault="000B5D37">
            <w:pPr>
              <w:rPr>
                <w:rFonts w:cs="Arial"/>
                <w:color w:val="000000"/>
                <w:sz w:val="16"/>
                <w:szCs w:val="16"/>
                <w:lang w:val="en-US" w:eastAsia="en-US"/>
              </w:rPr>
            </w:pPr>
            <w:r>
              <w:rPr>
                <w:rFonts w:cs="Arial"/>
                <w:color w:val="000000"/>
                <w:sz w:val="16"/>
                <w:szCs w:val="16"/>
                <w:lang w:val="en-US" w:eastAsia="en-US"/>
              </w:rPr>
              <w:t>HPLC-UV system</w:t>
            </w:r>
          </w:p>
          <w:p w14:paraId="3E3130EA" w14:textId="77777777" w:rsidR="00CF59EF" w:rsidRDefault="000B5D37">
            <w:pPr>
              <w:rPr>
                <w:rFonts w:cs="Arial"/>
                <w:color w:val="000000"/>
                <w:sz w:val="16"/>
                <w:szCs w:val="16"/>
                <w:lang w:val="en-US" w:eastAsia="en-US"/>
              </w:rPr>
            </w:pPr>
            <w:r>
              <w:rPr>
                <w:rFonts w:cs="Arial"/>
                <w:color w:val="000000"/>
                <w:sz w:val="16"/>
                <w:szCs w:val="16"/>
                <w:lang w:val="en-US" w:eastAsia="en-US"/>
              </w:rPr>
              <w:t xml:space="preserve">Column: Luna C18(2), 250 mm x 4.6 mm i.d. </w:t>
            </w:r>
          </w:p>
          <w:p w14:paraId="002E6857" w14:textId="77777777" w:rsidR="00CF59EF" w:rsidRDefault="000B5D37">
            <w:pPr>
              <w:rPr>
                <w:rFonts w:cs="Arial"/>
                <w:color w:val="000000"/>
                <w:sz w:val="16"/>
                <w:szCs w:val="16"/>
                <w:lang w:val="en-US" w:eastAsia="en-US"/>
              </w:rPr>
            </w:pPr>
            <w:r>
              <w:rPr>
                <w:rFonts w:cs="Arial"/>
                <w:color w:val="000000"/>
                <w:sz w:val="16"/>
                <w:szCs w:val="16"/>
                <w:lang w:val="en-US" w:eastAsia="en-US"/>
              </w:rPr>
              <w:t>Column temperature: 30</w:t>
            </w:r>
            <w:r w:rsidR="00645781">
              <w:rPr>
                <w:rFonts w:cs="Arial"/>
                <w:color w:val="000000"/>
                <w:sz w:val="16"/>
                <w:szCs w:val="16"/>
                <w:lang w:val="en-US" w:eastAsia="en-US"/>
              </w:rPr>
              <w:t xml:space="preserve"> </w:t>
            </w:r>
            <w:r>
              <w:rPr>
                <w:rFonts w:cs="Arial"/>
                <w:color w:val="000000"/>
                <w:sz w:val="16"/>
                <w:szCs w:val="16"/>
                <w:lang w:val="en-US" w:eastAsia="en-US"/>
              </w:rPr>
              <w:t xml:space="preserve">°C  </w:t>
            </w:r>
          </w:p>
          <w:p w14:paraId="0F65713A" w14:textId="77777777" w:rsidR="00CF59EF" w:rsidRDefault="000B5D37">
            <w:pPr>
              <w:rPr>
                <w:rFonts w:cs="Arial"/>
                <w:color w:val="000000"/>
                <w:sz w:val="16"/>
                <w:szCs w:val="16"/>
                <w:lang w:val="en-US" w:eastAsia="en-US"/>
              </w:rPr>
            </w:pPr>
            <w:r>
              <w:rPr>
                <w:rFonts w:cs="Arial"/>
                <w:color w:val="000000"/>
                <w:sz w:val="16"/>
                <w:szCs w:val="16"/>
                <w:lang w:val="en-US" w:eastAsia="en-US"/>
              </w:rPr>
              <w:t xml:space="preserve">Injection volume: 10 </w:t>
            </w:r>
            <w:r>
              <w:rPr>
                <w:rFonts w:cs="Arial"/>
                <w:color w:val="000000"/>
                <w:sz w:val="16"/>
                <w:szCs w:val="16"/>
                <w:lang w:val="nl-NL" w:eastAsia="en-US"/>
              </w:rPr>
              <w:t>μ</w:t>
            </w:r>
            <w:r>
              <w:rPr>
                <w:rFonts w:cs="Arial"/>
                <w:color w:val="000000"/>
                <w:sz w:val="16"/>
                <w:szCs w:val="16"/>
                <w:lang w:val="en-US" w:eastAsia="en-US"/>
              </w:rPr>
              <w:t xml:space="preserve">L </w:t>
            </w:r>
          </w:p>
          <w:p w14:paraId="41B58A93" w14:textId="77777777" w:rsidR="00CF59EF" w:rsidRDefault="000B5D37">
            <w:pPr>
              <w:rPr>
                <w:rFonts w:cs="Arial"/>
                <w:color w:val="000000"/>
                <w:sz w:val="16"/>
                <w:szCs w:val="16"/>
                <w:lang w:val="en-US" w:eastAsia="en-US"/>
              </w:rPr>
            </w:pPr>
            <w:r>
              <w:rPr>
                <w:rFonts w:cs="Arial"/>
                <w:color w:val="000000"/>
                <w:sz w:val="16"/>
                <w:szCs w:val="16"/>
                <w:lang w:val="en-US" w:eastAsia="en-US"/>
              </w:rPr>
              <w:t xml:space="preserve">Mobile phase: 30/70 (v/v) acetonitrile/monobasic potassium phosphate in water (pH ca. 2.4); vacuum filtered through 0.45-µm nylon </w:t>
            </w:r>
          </w:p>
          <w:p w14:paraId="6C91FCB4" w14:textId="77777777" w:rsidR="00CF59EF" w:rsidRDefault="000B5D37">
            <w:pPr>
              <w:rPr>
                <w:rFonts w:cs="Arial"/>
                <w:color w:val="000000"/>
                <w:sz w:val="16"/>
                <w:szCs w:val="16"/>
                <w:lang w:val="en-US" w:eastAsia="en-US"/>
              </w:rPr>
            </w:pPr>
            <w:r>
              <w:rPr>
                <w:rFonts w:cs="Arial"/>
                <w:color w:val="000000"/>
                <w:sz w:val="16"/>
                <w:szCs w:val="16"/>
                <w:lang w:val="en-US" w:eastAsia="en-US"/>
              </w:rPr>
              <w:t xml:space="preserve">Flow: 1 mL/min </w:t>
            </w:r>
          </w:p>
          <w:p w14:paraId="37986680" w14:textId="77777777" w:rsidR="00CF59EF" w:rsidRDefault="000B5D37">
            <w:pPr>
              <w:rPr>
                <w:sz w:val="16"/>
                <w:szCs w:val="16"/>
                <w:lang w:val="en-US"/>
              </w:rPr>
            </w:pPr>
            <w:r>
              <w:rPr>
                <w:rFonts w:cs="Arial"/>
                <w:color w:val="000000"/>
                <w:sz w:val="16"/>
                <w:szCs w:val="16"/>
                <w:lang w:val="en-US" w:eastAsia="en-US"/>
              </w:rPr>
              <w:t>UV detection: 230 nm</w:t>
            </w:r>
          </w:p>
          <w:p w14:paraId="6CA0FF8F" w14:textId="77777777" w:rsidR="00CF59EF" w:rsidRDefault="00CF59EF">
            <w:pPr>
              <w:rPr>
                <w:sz w:val="16"/>
                <w:szCs w:val="16"/>
                <w:lang w:val="en-US"/>
              </w:rPr>
            </w:pPr>
          </w:p>
          <w:p w14:paraId="77790097" w14:textId="77777777" w:rsidR="00CF59EF" w:rsidRDefault="000B5D37">
            <w:pPr>
              <w:rPr>
                <w:sz w:val="16"/>
                <w:szCs w:val="16"/>
              </w:rPr>
            </w:pPr>
            <w:r>
              <w:rPr>
                <w:sz w:val="16"/>
                <w:szCs w:val="16"/>
              </w:rPr>
              <w:t>Accuracy samples: approximately 1 g of an approximately 10 g/kg sample stock solution and approximately 1 g of an approximately 10 g/kg standard stock solution were added into 100-mL volumetric flasks and diluted</w:t>
            </w:r>
          </w:p>
          <w:p w14:paraId="78189391" w14:textId="77777777" w:rsidR="00CF59EF" w:rsidRDefault="000B5D37">
            <w:pPr>
              <w:rPr>
                <w:sz w:val="16"/>
                <w:szCs w:val="16"/>
              </w:rPr>
            </w:pPr>
            <w:r>
              <w:rPr>
                <w:sz w:val="16"/>
                <w:szCs w:val="16"/>
              </w:rPr>
              <w:t xml:space="preserve">to volume with deionized water. Triplicate sample stock solutions were prepared and used to prepare 3 fortified test solutions. </w:t>
            </w:r>
          </w:p>
          <w:p w14:paraId="61E22579" w14:textId="77777777" w:rsidR="00CF59EF" w:rsidRDefault="00CF59EF">
            <w:pPr>
              <w:rPr>
                <w:sz w:val="16"/>
                <w:szCs w:val="16"/>
                <w:lang w:val="en-US"/>
              </w:rPr>
            </w:pPr>
          </w:p>
          <w:p w14:paraId="3BC48047" w14:textId="77777777" w:rsidR="00CF59EF" w:rsidRDefault="00CF59EF" w:rsidP="005459B4">
            <w:pPr>
              <w:rPr>
                <w:sz w:val="16"/>
                <w:szCs w:val="16"/>
              </w:rPr>
            </w:pPr>
          </w:p>
        </w:tc>
      </w:tr>
    </w:tbl>
    <w:p w14:paraId="6F18209E" w14:textId="77777777" w:rsidR="00CF59EF" w:rsidRDefault="00CF59EF">
      <w:pPr>
        <w:spacing w:line="260" w:lineRule="atLeast"/>
        <w:jc w:val="both"/>
        <w:rPr>
          <w:rFonts w:ascii="Times New Roman" w:eastAsia="Calibri" w:hAnsi="Times New Roman"/>
          <w:i/>
          <w:szCs w:val="24"/>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14:paraId="4E54D121" w14:textId="77777777">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0BA83062" w14:textId="77777777" w:rsidR="00CF59EF" w:rsidRDefault="000B5D37">
            <w:pPr>
              <w:keepNext/>
              <w:widowControl w:val="0"/>
              <w:spacing w:before="60" w:after="60"/>
              <w:jc w:val="center"/>
              <w:rPr>
                <w:b/>
                <w:bCs/>
                <w:sz w:val="18"/>
                <w:szCs w:val="18"/>
              </w:rPr>
            </w:pPr>
            <w:r>
              <w:rPr>
                <w:rFonts w:eastAsia="Calibri"/>
                <w:b/>
              </w:rPr>
              <w:t xml:space="preserve">Analytical methods for soil </w:t>
            </w:r>
          </w:p>
        </w:tc>
      </w:tr>
      <w:tr w:rsidR="00CF59EF" w14:paraId="7B668114" w14:textId="77777777">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26E7BB4D"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23094A6C" w14:textId="77777777"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678D5B8"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4ABCE6E" w14:textId="77777777"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E1B42F4" w14:textId="77777777"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6E4612F" w14:textId="77777777"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2711A0D"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18010D43" w14:textId="77777777" w:rsidR="00CF59EF" w:rsidRDefault="000B5D37">
            <w:pPr>
              <w:keepNext/>
              <w:widowControl w:val="0"/>
              <w:spacing w:before="60" w:after="60"/>
              <w:rPr>
                <w:b/>
                <w:bCs/>
                <w:sz w:val="18"/>
                <w:szCs w:val="18"/>
              </w:rPr>
            </w:pPr>
            <w:r>
              <w:rPr>
                <w:b/>
                <w:bCs/>
                <w:sz w:val="18"/>
                <w:szCs w:val="18"/>
              </w:rPr>
              <w:t>Reference</w:t>
            </w:r>
          </w:p>
        </w:tc>
      </w:tr>
      <w:tr w:rsidR="00CF59EF" w14:paraId="259CAECD" w14:textId="77777777">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2672CFE2" w14:textId="77777777"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D9DCF12" w14:textId="77777777"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A1DA155" w14:textId="77777777"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DC311C4" w14:textId="77777777"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F8D8EE0" w14:textId="77777777"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4AF1F30" w14:textId="77777777"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D4C38FF" w14:textId="77777777"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337032" w14:textId="77777777"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063F4D2" w14:textId="77777777"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45B40124" w14:textId="77777777" w:rsidR="00CF59EF" w:rsidRDefault="00CF59EF">
            <w:pPr>
              <w:spacing w:before="60" w:after="60"/>
              <w:rPr>
                <w:sz w:val="18"/>
                <w:szCs w:val="18"/>
              </w:rPr>
            </w:pPr>
          </w:p>
        </w:tc>
      </w:tr>
      <w:tr w:rsidR="00CF59EF" w14:paraId="31DBD24A" w14:textId="77777777">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06EAB775" w14:textId="77777777" w:rsidR="00CF59EF" w:rsidRDefault="000B5D37">
            <w:pPr>
              <w:rPr>
                <w:sz w:val="18"/>
                <w:szCs w:val="18"/>
              </w:rPr>
            </w:pPr>
            <w:r>
              <w:rPr>
                <w:sz w:val="18"/>
                <w:szCs w:val="18"/>
              </w:rPr>
              <w:t xml:space="preserve">Waiver: </w:t>
            </w:r>
          </w:p>
          <w:p w14:paraId="758CB3D4" w14:textId="77777777" w:rsidR="00CF59EF" w:rsidRDefault="000B5D37">
            <w:pPr>
              <w:rPr>
                <w:sz w:val="18"/>
                <w:szCs w:val="18"/>
                <w:lang w:val="en-US"/>
              </w:rPr>
            </w:pPr>
            <w:r>
              <w:rPr>
                <w:sz w:val="18"/>
                <w:szCs w:val="18"/>
                <w:lang w:val="en-US"/>
              </w:rPr>
              <w:t xml:space="preserve">The soil compartment is not a relevant environmental compartment for sodium benzoate in the current use (PT6).  There is no direct exposure to soil. Additionally, sodium benzoate has a low hazard (i.e. the substance is included on Annex I of BPR: low hazard profile substance) which makes an analytical method for soil matrix superfluous. </w:t>
            </w:r>
          </w:p>
        </w:tc>
      </w:tr>
    </w:tbl>
    <w:p w14:paraId="591F278A" w14:textId="77777777"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14:paraId="0451591F" w14:textId="77777777">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1B3CBDFD" w14:textId="77777777" w:rsidR="00CF59EF" w:rsidRDefault="000B5D37">
            <w:pPr>
              <w:keepNext/>
              <w:widowControl w:val="0"/>
              <w:spacing w:before="60" w:after="60"/>
              <w:jc w:val="center"/>
              <w:rPr>
                <w:b/>
                <w:bCs/>
                <w:sz w:val="18"/>
                <w:szCs w:val="18"/>
              </w:rPr>
            </w:pPr>
            <w:r>
              <w:rPr>
                <w:rFonts w:eastAsia="Calibri"/>
                <w:b/>
              </w:rPr>
              <w:t>Analytical methods for air</w:t>
            </w:r>
          </w:p>
        </w:tc>
      </w:tr>
      <w:tr w:rsidR="00CF59EF" w14:paraId="6BBF29DE" w14:textId="77777777">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3FD4B54E"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E3C5045" w14:textId="77777777"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AE0463A"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8F2ECC6" w14:textId="77777777"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A722945" w14:textId="77777777"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8A5FE87" w14:textId="77777777"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23225F4E"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78AEFA24" w14:textId="77777777" w:rsidR="00CF59EF" w:rsidRDefault="000B5D37">
            <w:pPr>
              <w:keepNext/>
              <w:widowControl w:val="0"/>
              <w:spacing w:before="60" w:after="60"/>
              <w:rPr>
                <w:b/>
                <w:bCs/>
                <w:sz w:val="18"/>
                <w:szCs w:val="18"/>
              </w:rPr>
            </w:pPr>
            <w:r>
              <w:rPr>
                <w:b/>
                <w:bCs/>
                <w:sz w:val="18"/>
                <w:szCs w:val="18"/>
              </w:rPr>
              <w:t>Reference</w:t>
            </w:r>
          </w:p>
        </w:tc>
      </w:tr>
      <w:tr w:rsidR="00CF59EF" w14:paraId="1FDA798B" w14:textId="77777777">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1FB60DFB" w14:textId="77777777"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643120E" w14:textId="77777777"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6185B94" w14:textId="77777777"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F7E3B52" w14:textId="77777777"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8B68AAF" w14:textId="77777777"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DF349DF" w14:textId="77777777"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965B1E0" w14:textId="77777777"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D65AB40" w14:textId="77777777"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0679E06" w14:textId="77777777"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52263C0C" w14:textId="77777777" w:rsidR="00CF59EF" w:rsidRDefault="00CF59EF">
            <w:pPr>
              <w:spacing w:before="60" w:after="60"/>
              <w:rPr>
                <w:sz w:val="18"/>
                <w:szCs w:val="18"/>
              </w:rPr>
            </w:pPr>
          </w:p>
        </w:tc>
      </w:tr>
      <w:tr w:rsidR="00CF59EF" w14:paraId="65E90277" w14:textId="77777777">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1B759387" w14:textId="77777777" w:rsidR="00CF59EF" w:rsidRDefault="000B5D37">
            <w:pPr>
              <w:rPr>
                <w:sz w:val="18"/>
                <w:szCs w:val="18"/>
              </w:rPr>
            </w:pPr>
            <w:r>
              <w:rPr>
                <w:sz w:val="18"/>
                <w:szCs w:val="18"/>
              </w:rPr>
              <w:t xml:space="preserve">Waiver: </w:t>
            </w:r>
          </w:p>
          <w:p w14:paraId="08A96735" w14:textId="77777777" w:rsidR="00CF59EF" w:rsidRDefault="000B5D37">
            <w:pPr>
              <w:rPr>
                <w:sz w:val="18"/>
                <w:szCs w:val="18"/>
                <w:lang w:val="en-US"/>
              </w:rPr>
            </w:pPr>
            <w:r>
              <w:rPr>
                <w:sz w:val="18"/>
                <w:szCs w:val="18"/>
                <w:lang w:val="en-US"/>
              </w:rPr>
              <w:t xml:space="preserve">The air compartment is not a relevant environmental compartment for sodium benzoate in the current use (PT6), as sodium benzoate is a solid substance with a negligible </w:t>
            </w:r>
            <w:proofErr w:type="spellStart"/>
            <w:r>
              <w:rPr>
                <w:sz w:val="18"/>
                <w:szCs w:val="18"/>
                <w:lang w:val="en-US"/>
              </w:rPr>
              <w:t>vapour</w:t>
            </w:r>
            <w:proofErr w:type="spellEnd"/>
            <w:r>
              <w:rPr>
                <w:sz w:val="18"/>
                <w:szCs w:val="18"/>
                <w:lang w:val="en-US"/>
              </w:rPr>
              <w:t xml:space="preserve"> pressure, and the product shall not be applied by spraying.  </w:t>
            </w:r>
          </w:p>
        </w:tc>
      </w:tr>
    </w:tbl>
    <w:p w14:paraId="3710817F" w14:textId="77777777" w:rsidR="00CF59EF" w:rsidRDefault="00CF59EF">
      <w:pPr>
        <w:rPr>
          <w:rFonts w:eastAsia="Calibri"/>
          <w:lang w:eastAsia="en-US"/>
        </w:rPr>
      </w:pPr>
    </w:p>
    <w:p w14:paraId="0F44BF0E" w14:textId="77777777"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14:paraId="60997B0D" w14:textId="77777777" w:rsidTr="00882A7A">
        <w:trPr>
          <w:cantSplit/>
          <w:trHeight w:val="439"/>
        </w:trPr>
        <w:tc>
          <w:tcPr>
            <w:tcW w:w="9353"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5B622E5D" w14:textId="77777777" w:rsidR="00CF59EF" w:rsidRDefault="000B5D37">
            <w:pPr>
              <w:keepNext/>
              <w:widowControl w:val="0"/>
              <w:spacing w:before="60" w:after="60"/>
              <w:jc w:val="center"/>
              <w:rPr>
                <w:b/>
                <w:bCs/>
                <w:sz w:val="18"/>
                <w:szCs w:val="18"/>
              </w:rPr>
            </w:pPr>
            <w:r>
              <w:rPr>
                <w:rFonts w:eastAsia="Calibri"/>
                <w:b/>
              </w:rPr>
              <w:lastRenderedPageBreak/>
              <w:t>Analytical methods for water</w:t>
            </w:r>
          </w:p>
        </w:tc>
      </w:tr>
      <w:tr w:rsidR="00CF59EF" w14:paraId="48A53D01" w14:textId="77777777" w:rsidTr="00882A7A">
        <w:trPr>
          <w:cantSplit/>
          <w:trHeight w:val="352"/>
        </w:trPr>
        <w:tc>
          <w:tcPr>
            <w:tcW w:w="109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7B1296AF"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83"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32BA62C" w14:textId="77777777" w:rsidR="00CF59EF" w:rsidRDefault="000B5D37">
            <w:pPr>
              <w:keepNext/>
              <w:widowControl w:val="0"/>
              <w:spacing w:before="60" w:after="60"/>
              <w:rPr>
                <w:b/>
                <w:bCs/>
                <w:sz w:val="18"/>
                <w:szCs w:val="18"/>
              </w:rPr>
            </w:pPr>
            <w:r>
              <w:rPr>
                <w:b/>
                <w:bCs/>
                <w:sz w:val="18"/>
                <w:szCs w:val="18"/>
              </w:rPr>
              <w:t xml:space="preserve">Analytical method </w:t>
            </w:r>
            <w:r>
              <w:rPr>
                <w:b/>
                <w:bCs/>
                <w:sz w:val="18"/>
                <w:szCs w:val="18"/>
                <w:vertAlign w:val="superscript"/>
              </w:rPr>
              <w:t>1</w:t>
            </w:r>
          </w:p>
        </w:tc>
        <w:tc>
          <w:tcPr>
            <w:tcW w:w="1409"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0C929D5C"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95"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6FAB8ED0" w14:textId="77777777" w:rsidR="00CF59EF" w:rsidRDefault="000B5D37">
            <w:pPr>
              <w:keepNext/>
              <w:widowControl w:val="0"/>
              <w:spacing w:before="60" w:after="60"/>
              <w:rPr>
                <w:b/>
                <w:bCs/>
                <w:sz w:val="18"/>
                <w:szCs w:val="18"/>
              </w:rPr>
            </w:pPr>
            <w:r>
              <w:rPr>
                <w:b/>
                <w:bCs/>
                <w:sz w:val="18"/>
                <w:szCs w:val="18"/>
              </w:rPr>
              <w:t xml:space="preserve">Linearity </w:t>
            </w:r>
            <w:r>
              <w:rPr>
                <w:b/>
                <w:bCs/>
                <w:sz w:val="18"/>
                <w:szCs w:val="18"/>
                <w:vertAlign w:val="superscript"/>
              </w:rPr>
              <w:t>2</w:t>
            </w:r>
          </w:p>
        </w:tc>
        <w:tc>
          <w:tcPr>
            <w:tcW w:w="102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2392AAD7" w14:textId="77777777" w:rsidR="00CF59EF" w:rsidRDefault="000B5D37">
            <w:pPr>
              <w:keepNext/>
              <w:widowControl w:val="0"/>
              <w:spacing w:before="60" w:after="60"/>
              <w:rPr>
                <w:b/>
                <w:bCs/>
                <w:sz w:val="18"/>
                <w:szCs w:val="18"/>
              </w:rPr>
            </w:pPr>
            <w:r>
              <w:rPr>
                <w:b/>
                <w:bCs/>
                <w:sz w:val="18"/>
                <w:szCs w:val="18"/>
              </w:rPr>
              <w:t xml:space="preserve">Specificity </w:t>
            </w:r>
            <w:r>
              <w:rPr>
                <w:b/>
                <w:bCs/>
                <w:sz w:val="18"/>
                <w:szCs w:val="18"/>
                <w:vertAlign w:val="superscript"/>
              </w:rPr>
              <w:t>3</w:t>
            </w:r>
          </w:p>
        </w:tc>
        <w:tc>
          <w:tcPr>
            <w:tcW w:w="1626"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CB0B586" w14:textId="77777777" w:rsidR="00CF59EF" w:rsidRDefault="000B5D37">
            <w:pPr>
              <w:keepNext/>
              <w:widowControl w:val="0"/>
              <w:spacing w:before="60" w:after="60"/>
              <w:rPr>
                <w:b/>
                <w:bCs/>
                <w:sz w:val="18"/>
                <w:szCs w:val="18"/>
              </w:rPr>
            </w:pPr>
            <w:r>
              <w:rPr>
                <w:b/>
                <w:bCs/>
                <w:sz w:val="18"/>
                <w:szCs w:val="18"/>
              </w:rPr>
              <w:t>Recovery rate (%)</w:t>
            </w:r>
          </w:p>
        </w:tc>
        <w:tc>
          <w:tcPr>
            <w:tcW w:w="132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230B118"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1000"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1106B047" w14:textId="77777777" w:rsidR="00CF59EF" w:rsidRDefault="000B5D37">
            <w:pPr>
              <w:keepNext/>
              <w:widowControl w:val="0"/>
              <w:spacing w:before="60" w:after="60"/>
              <w:rPr>
                <w:b/>
                <w:bCs/>
                <w:sz w:val="18"/>
                <w:szCs w:val="18"/>
              </w:rPr>
            </w:pPr>
            <w:r>
              <w:rPr>
                <w:b/>
                <w:bCs/>
                <w:sz w:val="18"/>
                <w:szCs w:val="18"/>
              </w:rPr>
              <w:t>Reference</w:t>
            </w:r>
          </w:p>
        </w:tc>
      </w:tr>
      <w:tr w:rsidR="00CF59EF" w14:paraId="489B2ADB" w14:textId="77777777" w:rsidTr="00882A7A">
        <w:tc>
          <w:tcPr>
            <w:tcW w:w="109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06222576" w14:textId="77777777" w:rsidR="00CF59EF" w:rsidRDefault="00CF59EF">
            <w:pPr>
              <w:spacing w:before="60" w:after="60"/>
              <w:rPr>
                <w:i/>
                <w:sz w:val="18"/>
                <w:szCs w:val="18"/>
              </w:rPr>
            </w:pPr>
          </w:p>
        </w:tc>
        <w:tc>
          <w:tcPr>
            <w:tcW w:w="983"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03C807" w14:textId="77777777" w:rsidR="00CF59EF" w:rsidRDefault="00CF59EF">
            <w:pPr>
              <w:spacing w:before="60" w:after="60"/>
              <w:rPr>
                <w:sz w:val="18"/>
                <w:szCs w:val="18"/>
              </w:rPr>
            </w:pPr>
          </w:p>
        </w:tc>
        <w:tc>
          <w:tcPr>
            <w:tcW w:w="1409"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71D9C2C" w14:textId="77777777" w:rsidR="00CF59EF" w:rsidRDefault="00CF59EF">
            <w:pPr>
              <w:spacing w:before="60" w:after="60"/>
              <w:rPr>
                <w:sz w:val="18"/>
                <w:szCs w:val="18"/>
              </w:rPr>
            </w:pPr>
          </w:p>
        </w:tc>
        <w:tc>
          <w:tcPr>
            <w:tcW w:w="895"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5FCFF7A" w14:textId="77777777" w:rsidR="00CF59EF" w:rsidRDefault="00CF59EF">
            <w:pPr>
              <w:spacing w:before="60" w:after="60"/>
              <w:rPr>
                <w:sz w:val="18"/>
                <w:szCs w:val="18"/>
              </w:rPr>
            </w:pPr>
          </w:p>
        </w:tc>
        <w:tc>
          <w:tcPr>
            <w:tcW w:w="1022"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5E1CDB4" w14:textId="77777777" w:rsidR="00CF59EF" w:rsidRDefault="00CF59EF">
            <w:pPr>
              <w:spacing w:before="60" w:after="60"/>
              <w:rPr>
                <w:sz w:val="18"/>
                <w:szCs w:val="18"/>
              </w:rPr>
            </w:pP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29D38D3" w14:textId="77777777" w:rsidR="00CF59EF" w:rsidRDefault="000B5D37">
            <w:pPr>
              <w:spacing w:before="60" w:after="60"/>
              <w:rPr>
                <w:sz w:val="18"/>
                <w:szCs w:val="18"/>
              </w:rPr>
            </w:pPr>
            <w:r>
              <w:rPr>
                <w:sz w:val="18"/>
                <w:szCs w:val="18"/>
              </w:rPr>
              <w:t>Range</w:t>
            </w:r>
          </w:p>
        </w:tc>
        <w:tc>
          <w:tcPr>
            <w:tcW w:w="54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99C69A" w14:textId="77777777" w:rsidR="00CF59EF" w:rsidRDefault="000B5D37">
            <w:pPr>
              <w:spacing w:before="60" w:after="60"/>
              <w:rPr>
                <w:sz w:val="18"/>
                <w:szCs w:val="18"/>
              </w:rPr>
            </w:pPr>
            <w:r>
              <w:rPr>
                <w:sz w:val="18"/>
                <w:szCs w:val="18"/>
              </w:rPr>
              <w:t>Mean</w:t>
            </w:r>
          </w:p>
        </w:tc>
        <w:tc>
          <w:tcPr>
            <w:tcW w:w="4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A64D485" w14:textId="77777777" w:rsidR="00CF59EF" w:rsidRDefault="000B5D37">
            <w:pPr>
              <w:spacing w:before="60" w:after="60"/>
              <w:rPr>
                <w:sz w:val="18"/>
                <w:szCs w:val="18"/>
              </w:rPr>
            </w:pPr>
            <w:r>
              <w:rPr>
                <w:sz w:val="18"/>
                <w:szCs w:val="18"/>
              </w:rPr>
              <w:t>RSD</w:t>
            </w:r>
          </w:p>
        </w:tc>
        <w:tc>
          <w:tcPr>
            <w:tcW w:w="132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939AC3C" w14:textId="77777777" w:rsidR="00CF59EF" w:rsidRDefault="00CF59EF">
            <w:pPr>
              <w:spacing w:before="60" w:after="60"/>
              <w:rPr>
                <w:sz w:val="18"/>
                <w:szCs w:val="18"/>
              </w:rPr>
            </w:pPr>
          </w:p>
        </w:tc>
        <w:tc>
          <w:tcPr>
            <w:tcW w:w="1000"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3491634C" w14:textId="77777777" w:rsidR="00CF59EF" w:rsidRDefault="00CF59EF">
            <w:pPr>
              <w:spacing w:before="60" w:after="60"/>
              <w:rPr>
                <w:sz w:val="18"/>
                <w:szCs w:val="18"/>
              </w:rPr>
            </w:pPr>
          </w:p>
        </w:tc>
      </w:tr>
      <w:tr w:rsidR="00CF59EF" w14:paraId="7ACFFFE4" w14:textId="77777777" w:rsidTr="00882A7A">
        <w:tc>
          <w:tcPr>
            <w:tcW w:w="9353"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03C80202" w14:textId="77777777" w:rsidR="00CF59EF" w:rsidRDefault="000B5D37">
            <w:pPr>
              <w:spacing w:before="60" w:after="60"/>
              <w:rPr>
                <w:sz w:val="18"/>
                <w:szCs w:val="18"/>
              </w:rPr>
            </w:pPr>
            <w:r>
              <w:rPr>
                <w:sz w:val="18"/>
                <w:szCs w:val="18"/>
              </w:rPr>
              <w:t>Waiver:</w:t>
            </w:r>
          </w:p>
          <w:p w14:paraId="2B01B02A" w14:textId="77777777" w:rsidR="00CF59EF" w:rsidRDefault="000B5D37">
            <w:pPr>
              <w:spacing w:before="60" w:after="60"/>
              <w:rPr>
                <w:sz w:val="18"/>
                <w:szCs w:val="18"/>
                <w:lang w:val="en-US"/>
              </w:rPr>
            </w:pPr>
            <w:r>
              <w:rPr>
                <w:sz w:val="18"/>
                <w:szCs w:val="18"/>
                <w:lang w:val="en-US"/>
              </w:rPr>
              <w:t>The water compartment is a relevant environmental compartment for sodium benzoate and its current use (PT6). There is indirect exposure to water via the treated product (dishwashing liquids, laundry products, cleaners). However, sodium benzoate has a low hazard which makes an analytical method for water matrix superfluous.</w:t>
            </w:r>
          </w:p>
        </w:tc>
      </w:tr>
    </w:tbl>
    <w:p w14:paraId="1898B65B" w14:textId="77777777"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14:paraId="36FA6394" w14:textId="77777777">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35988385" w14:textId="77777777" w:rsidR="00CF59EF" w:rsidRDefault="000B5D37">
            <w:pPr>
              <w:keepNext/>
              <w:widowControl w:val="0"/>
              <w:spacing w:before="60" w:after="60"/>
              <w:jc w:val="center"/>
              <w:rPr>
                <w:b/>
                <w:bCs/>
                <w:sz w:val="18"/>
                <w:szCs w:val="18"/>
              </w:rPr>
            </w:pPr>
            <w:r>
              <w:rPr>
                <w:rFonts w:eastAsia="Calibri"/>
                <w:b/>
              </w:rPr>
              <w:t xml:space="preserve">Analytical methods for animal and human body fluids and </w:t>
            </w:r>
            <w:proofErr w:type="spellStart"/>
            <w:r>
              <w:rPr>
                <w:rFonts w:eastAsia="Calibri"/>
                <w:b/>
              </w:rPr>
              <w:t>tisues</w:t>
            </w:r>
            <w:proofErr w:type="spellEnd"/>
          </w:p>
        </w:tc>
      </w:tr>
      <w:tr w:rsidR="00CF59EF" w14:paraId="528AFB75" w14:textId="77777777">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3ECAEB93"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09BC32D5" w14:textId="77777777"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3F6D359"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7F16B91F" w14:textId="77777777"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25C8D885" w14:textId="77777777"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25271C57" w14:textId="77777777"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68770E05"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3A61BC8B" w14:textId="77777777" w:rsidR="00CF59EF" w:rsidRDefault="000B5D37">
            <w:pPr>
              <w:keepNext/>
              <w:widowControl w:val="0"/>
              <w:spacing w:before="60" w:after="60"/>
              <w:rPr>
                <w:b/>
                <w:bCs/>
                <w:sz w:val="18"/>
                <w:szCs w:val="18"/>
              </w:rPr>
            </w:pPr>
            <w:r>
              <w:rPr>
                <w:b/>
                <w:bCs/>
                <w:sz w:val="18"/>
                <w:szCs w:val="18"/>
              </w:rPr>
              <w:t>Reference</w:t>
            </w:r>
          </w:p>
        </w:tc>
      </w:tr>
      <w:tr w:rsidR="00CF59EF" w14:paraId="5699977C" w14:textId="77777777">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38DDA4FA" w14:textId="77777777"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A0ECCC2" w14:textId="77777777"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4D20253" w14:textId="77777777"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FE771" w14:textId="77777777"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24ECA39" w14:textId="77777777"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3B09CF5" w14:textId="77777777"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982624E" w14:textId="77777777"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A023B8D" w14:textId="77777777"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2B37BAC" w14:textId="77777777"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7A9C3B3D" w14:textId="77777777" w:rsidR="00CF59EF" w:rsidRDefault="00CF59EF">
            <w:pPr>
              <w:spacing w:before="60" w:after="60"/>
              <w:rPr>
                <w:sz w:val="18"/>
                <w:szCs w:val="18"/>
              </w:rPr>
            </w:pPr>
          </w:p>
        </w:tc>
      </w:tr>
      <w:tr w:rsidR="00CF59EF" w14:paraId="3331BCB2" w14:textId="77777777">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5D55417E" w14:textId="77777777" w:rsidR="00CF59EF" w:rsidRDefault="000B5D37">
            <w:pPr>
              <w:spacing w:before="60" w:after="60"/>
              <w:rPr>
                <w:sz w:val="18"/>
                <w:szCs w:val="18"/>
              </w:rPr>
            </w:pPr>
            <w:r>
              <w:rPr>
                <w:sz w:val="18"/>
                <w:szCs w:val="18"/>
              </w:rPr>
              <w:t xml:space="preserve">Waiver: </w:t>
            </w:r>
          </w:p>
          <w:p w14:paraId="2ABE699F" w14:textId="77777777" w:rsidR="00CF59EF" w:rsidRDefault="000B5D37">
            <w:pPr>
              <w:spacing w:before="60" w:after="60"/>
              <w:rPr>
                <w:sz w:val="18"/>
                <w:szCs w:val="18"/>
              </w:rPr>
            </w:pPr>
            <w:r>
              <w:rPr>
                <w:sz w:val="18"/>
                <w:szCs w:val="18"/>
                <w:lang w:val="en-US"/>
              </w:rPr>
              <w:t>The matrices animal and human body fluids and tissues are directly exposed to sodium benzoate in its current use (PT6). However, a</w:t>
            </w:r>
            <w:proofErr w:type="spellStart"/>
            <w:r>
              <w:rPr>
                <w:sz w:val="18"/>
                <w:szCs w:val="18"/>
              </w:rPr>
              <w:t>ccording</w:t>
            </w:r>
            <w:proofErr w:type="spellEnd"/>
            <w:r>
              <w:rPr>
                <w:sz w:val="18"/>
                <w:szCs w:val="18"/>
              </w:rPr>
              <w:t xml:space="preserve"> to ECHA BPR guidance on data requirements, an analytical method in animal and human tissues must be provided in case the substance is classified as toxic or highly toxic. Sodium benzoate is not classified as (highly) toxic. </w:t>
            </w:r>
          </w:p>
          <w:p w14:paraId="65E6D359" w14:textId="77777777" w:rsidR="00CF59EF" w:rsidRDefault="000B5D37">
            <w:pPr>
              <w:spacing w:before="60" w:after="60"/>
              <w:rPr>
                <w:sz w:val="18"/>
                <w:szCs w:val="18"/>
              </w:rPr>
            </w:pPr>
            <w:r>
              <w:rPr>
                <w:sz w:val="18"/>
                <w:szCs w:val="18"/>
              </w:rPr>
              <w:t xml:space="preserve">Furthermore sodium benzoate is an approved substance for use in food. This implies that exposures of animal and human tissues and body fluids are regarded to be acceptable. </w:t>
            </w:r>
          </w:p>
          <w:p w14:paraId="6346EE52" w14:textId="77777777" w:rsidR="00CF59EF" w:rsidRDefault="000B5D37">
            <w:pPr>
              <w:spacing w:before="60" w:after="60"/>
              <w:rPr>
                <w:sz w:val="18"/>
                <w:szCs w:val="18"/>
              </w:rPr>
            </w:pPr>
            <w:r>
              <w:rPr>
                <w:sz w:val="18"/>
                <w:szCs w:val="18"/>
              </w:rPr>
              <w:t>Based on these points of view, an analytical method for animal and human body fluids and tissues for monitoring purposes is not relevant.</w:t>
            </w:r>
          </w:p>
        </w:tc>
      </w:tr>
    </w:tbl>
    <w:p w14:paraId="1620CAA3" w14:textId="77777777"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14:paraId="4960A2A4" w14:textId="77777777">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030A9E1E" w14:textId="77777777" w:rsidR="00CF59EF" w:rsidRDefault="000B5D37">
            <w:pPr>
              <w:keepNext/>
              <w:widowControl w:val="0"/>
              <w:spacing w:before="60" w:after="60"/>
              <w:jc w:val="center"/>
              <w:rPr>
                <w:b/>
                <w:bCs/>
                <w:sz w:val="18"/>
                <w:szCs w:val="18"/>
              </w:rPr>
            </w:pPr>
            <w:r>
              <w:rPr>
                <w:rFonts w:eastAsia="Calibri"/>
                <w:b/>
              </w:rPr>
              <w:t>Analytical methods for monitoring of active substances and residues in food and feeding stuff</w:t>
            </w:r>
          </w:p>
        </w:tc>
      </w:tr>
      <w:tr w:rsidR="00CF59EF" w14:paraId="4BE7287B" w14:textId="77777777">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1B4C3AD6" w14:textId="77777777"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679D246" w14:textId="77777777"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1A84998E" w14:textId="77777777"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6C03930E" w14:textId="77777777"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602D824F" w14:textId="77777777"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CED0536" w14:textId="77777777"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3BEDD3C4" w14:textId="77777777"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2DE1D64E" w14:textId="77777777" w:rsidR="00CF59EF" w:rsidRDefault="000B5D37">
            <w:pPr>
              <w:keepNext/>
              <w:widowControl w:val="0"/>
              <w:spacing w:before="60" w:after="60"/>
              <w:rPr>
                <w:b/>
                <w:bCs/>
                <w:sz w:val="18"/>
                <w:szCs w:val="18"/>
              </w:rPr>
            </w:pPr>
            <w:r>
              <w:rPr>
                <w:b/>
                <w:bCs/>
                <w:sz w:val="18"/>
                <w:szCs w:val="18"/>
              </w:rPr>
              <w:t>Reference</w:t>
            </w:r>
          </w:p>
        </w:tc>
      </w:tr>
      <w:tr w:rsidR="00CF59EF" w14:paraId="481A73AE" w14:textId="77777777">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7E08CEB9" w14:textId="77777777"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2EF7975" w14:textId="77777777"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81346DC" w14:textId="77777777"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6923919" w14:textId="77777777"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2A51906" w14:textId="77777777"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2BDC3B7" w14:textId="77777777"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509F05D" w14:textId="77777777"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956F20F" w14:textId="77777777"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79104DE" w14:textId="77777777"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61745CD6" w14:textId="77777777" w:rsidR="00CF59EF" w:rsidRDefault="00CF59EF">
            <w:pPr>
              <w:spacing w:before="60" w:after="60"/>
              <w:rPr>
                <w:sz w:val="18"/>
                <w:szCs w:val="18"/>
              </w:rPr>
            </w:pPr>
          </w:p>
        </w:tc>
      </w:tr>
      <w:tr w:rsidR="00CF59EF" w14:paraId="53B5D58C" w14:textId="77777777">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39D4B04E" w14:textId="77777777" w:rsidR="00CF59EF" w:rsidRDefault="000B5D37">
            <w:pPr>
              <w:spacing w:before="60" w:after="60"/>
              <w:rPr>
                <w:sz w:val="18"/>
                <w:szCs w:val="18"/>
              </w:rPr>
            </w:pPr>
            <w:r>
              <w:rPr>
                <w:sz w:val="18"/>
                <w:szCs w:val="18"/>
              </w:rPr>
              <w:t>Waiver:</w:t>
            </w:r>
          </w:p>
          <w:p w14:paraId="2F7C6EDD" w14:textId="77777777" w:rsidR="00CF59EF" w:rsidRDefault="000B5D37">
            <w:pPr>
              <w:pStyle w:val="Default"/>
              <w:rPr>
                <w:rFonts w:ascii="Verdana" w:hAnsi="Verdana"/>
                <w:color w:val="00000A"/>
                <w:sz w:val="18"/>
                <w:szCs w:val="18"/>
                <w:lang w:val="en-US"/>
              </w:rPr>
            </w:pPr>
            <w:r>
              <w:rPr>
                <w:rFonts w:ascii="Verdana" w:hAnsi="Verdana"/>
                <w:color w:val="00000A"/>
                <w:sz w:val="18"/>
                <w:szCs w:val="18"/>
                <w:lang w:val="en-US"/>
              </w:rPr>
              <w:t xml:space="preserve">No analytical methods for monitoring purposes in/on food of plant and animal origin or feeding stuffs is proposed for PT 6 uses although the active substance can indirectly come into contact with food of plant or animal origin, or feeding stuffs. Since sodium benzoate is an approved food additive, an analytical method for monitoring purposes is superfluous. </w:t>
            </w:r>
          </w:p>
        </w:tc>
      </w:tr>
    </w:tbl>
    <w:p w14:paraId="01CE3DB8" w14:textId="77777777"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14:paraId="255D1FB9" w14:textId="77777777">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602277DC" w14:textId="77777777" w:rsidR="00CF59EF" w:rsidRDefault="000B5D37">
            <w:pPr>
              <w:spacing w:line="260" w:lineRule="atLeast"/>
              <w:rPr>
                <w:rFonts w:eastAsia="Calibri"/>
                <w:b/>
                <w:bCs/>
                <w:lang w:eastAsia="en-US"/>
              </w:rPr>
            </w:pPr>
            <w:r>
              <w:rPr>
                <w:rFonts w:eastAsia="Calibri"/>
                <w:b/>
                <w:bCs/>
                <w:lang w:eastAsia="en-US"/>
              </w:rPr>
              <w:t>Conclusion on the methods for detection and identification of the product</w:t>
            </w:r>
          </w:p>
        </w:tc>
      </w:tr>
      <w:tr w:rsidR="00CF59EF" w14:paraId="54C74101" w14:textId="77777777">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096BCCD" w14:textId="77777777" w:rsidR="00CF59EF" w:rsidRDefault="000B5D37">
            <w:pPr>
              <w:spacing w:before="60" w:after="60"/>
              <w:rPr>
                <w:rFonts w:eastAsia="Calibri"/>
                <w:lang w:eastAsia="en-US"/>
              </w:rPr>
            </w:pPr>
            <w:r>
              <w:rPr>
                <w:rFonts w:eastAsia="Calibri"/>
                <w:lang w:eastAsia="en-US"/>
              </w:rPr>
              <w:t xml:space="preserve">A high performance liquid chromatographic method with spectrophotometric detection (HPLC-UV) for the quantitative analysis of sodium benzoate in the product, with </w:t>
            </w:r>
            <w:r>
              <w:rPr>
                <w:rFonts w:eastAsia="Calibri"/>
                <w:lang w:eastAsia="en-US"/>
              </w:rPr>
              <w:lastRenderedPageBreak/>
              <w:t>acceptable validation parameters, is available. Validated parameters are precision, linearity, accuracy and limit of detection.</w:t>
            </w:r>
          </w:p>
          <w:p w14:paraId="31D5A79D" w14:textId="77777777" w:rsidR="00CF59EF" w:rsidRDefault="00CF59EF">
            <w:pPr>
              <w:spacing w:before="60" w:after="60"/>
            </w:pPr>
          </w:p>
          <w:p w14:paraId="6C8C1324" w14:textId="77777777" w:rsidR="00CF59EF" w:rsidRDefault="000B5D37" w:rsidP="009E5AE8">
            <w:pPr>
              <w:spacing w:before="60" w:after="60"/>
            </w:pPr>
            <w:r>
              <w:t>Methods for the analysis of sodium benzoate for post-registration monitoring are deemed not to be relevant</w:t>
            </w:r>
            <w:r w:rsidR="005459B4">
              <w:t xml:space="preserve"> as sodium benzoate is an approved food additive.</w:t>
            </w:r>
            <w:r>
              <w:t>.</w:t>
            </w:r>
          </w:p>
        </w:tc>
      </w:tr>
    </w:tbl>
    <w:p w14:paraId="7B159B67" w14:textId="77777777" w:rsidR="00FD395A" w:rsidRDefault="00FD395A">
      <w:pPr>
        <w:rPr>
          <w:rFonts w:eastAsia="Calibri"/>
          <w:b/>
          <w:sz w:val="24"/>
          <w:lang w:eastAsia="en-US"/>
        </w:rPr>
      </w:pPr>
      <w:bookmarkStart w:id="1297" w:name="_Toc378859101"/>
      <w:bookmarkStart w:id="1298" w:name="_Toc378858873"/>
      <w:bookmarkStart w:id="1299" w:name="_Toc378841274"/>
      <w:bookmarkStart w:id="1300" w:name="_Toc378776194"/>
      <w:bookmarkStart w:id="1301" w:name="_Toc378775000"/>
      <w:bookmarkStart w:id="1302" w:name="_Toc378767405"/>
      <w:bookmarkStart w:id="1303" w:name="_Toc378765657"/>
      <w:bookmarkStart w:id="1304" w:name="_Toc378762180"/>
      <w:bookmarkStart w:id="1305" w:name="_Toc378762042"/>
      <w:bookmarkStart w:id="1306" w:name="_Toc378761902"/>
      <w:bookmarkStart w:id="1307" w:name="_Toc378761589"/>
      <w:bookmarkStart w:id="1308" w:name="_Toc378761446"/>
      <w:bookmarkStart w:id="1309" w:name="_Toc378761303"/>
      <w:bookmarkStart w:id="1310" w:name="_Toc378761160"/>
      <w:bookmarkStart w:id="1311" w:name="_Toc378692457"/>
      <w:bookmarkStart w:id="1312" w:name="_Toc378692320"/>
      <w:bookmarkStart w:id="1313" w:name="_Toc378692183"/>
      <w:bookmarkStart w:id="1314" w:name="_Toc378691726"/>
      <w:bookmarkStart w:id="1315" w:name="_Toc378685517"/>
      <w:bookmarkStart w:id="1316" w:name="_Toc378685381"/>
      <w:bookmarkStart w:id="1317" w:name="_Toc378683693"/>
      <w:bookmarkStart w:id="1318" w:name="_Toc378682246"/>
      <w:bookmarkStart w:id="1319" w:name="_Toc378681326"/>
      <w:bookmarkStart w:id="1320" w:name="_Toc378351577"/>
      <w:bookmarkStart w:id="1321" w:name="_Toc378859100"/>
      <w:bookmarkStart w:id="1322" w:name="_Toc378858872"/>
      <w:bookmarkStart w:id="1323" w:name="_Toc378841273"/>
      <w:bookmarkStart w:id="1324" w:name="_Toc378776193"/>
      <w:bookmarkStart w:id="1325" w:name="_Toc378774999"/>
      <w:bookmarkStart w:id="1326" w:name="_Toc378767404"/>
      <w:bookmarkStart w:id="1327" w:name="_Toc378765656"/>
      <w:bookmarkStart w:id="1328" w:name="_Toc378762179"/>
      <w:bookmarkStart w:id="1329" w:name="_Toc378762041"/>
      <w:bookmarkStart w:id="1330" w:name="_Toc378761901"/>
      <w:bookmarkStart w:id="1331" w:name="_Toc378761588"/>
      <w:bookmarkStart w:id="1332" w:name="_Toc378761445"/>
      <w:bookmarkStart w:id="1333" w:name="_Toc378761302"/>
      <w:bookmarkStart w:id="1334" w:name="_Toc378761159"/>
      <w:bookmarkStart w:id="1335" w:name="_Toc378692456"/>
      <w:bookmarkStart w:id="1336" w:name="_Toc378692319"/>
      <w:bookmarkStart w:id="1337" w:name="_Toc378692182"/>
      <w:bookmarkStart w:id="1338" w:name="_Toc378691725"/>
      <w:bookmarkStart w:id="1339" w:name="_Toc378685516"/>
      <w:bookmarkStart w:id="1340" w:name="_Toc378685380"/>
      <w:bookmarkStart w:id="1341" w:name="_Toc378683692"/>
      <w:bookmarkStart w:id="1342" w:name="_Toc378682245"/>
      <w:bookmarkStart w:id="1343" w:name="_Toc378681325"/>
      <w:bookmarkStart w:id="1344" w:name="_Toc378351576"/>
      <w:bookmarkStart w:id="1345" w:name="_Toc377653272"/>
      <w:bookmarkStart w:id="1346" w:name="_Toc377651003"/>
      <w:bookmarkStart w:id="1347" w:name="_Toc377650876"/>
      <w:bookmarkStart w:id="1348" w:name="_Toc377649023"/>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lastRenderedPageBreak/>
        <w:br w:type="page"/>
      </w:r>
    </w:p>
    <w:p w14:paraId="06F7A8AC" w14:textId="77777777" w:rsidR="00CF59EF" w:rsidRDefault="000B5D37" w:rsidP="00172945">
      <w:pPr>
        <w:pStyle w:val="Heading2"/>
        <w:numPr>
          <w:ilvl w:val="2"/>
          <w:numId w:val="2"/>
        </w:numPr>
        <w:ind w:left="720"/>
      </w:pPr>
      <w:bookmarkStart w:id="1349" w:name="_Toc531868656"/>
      <w:r>
        <w:lastRenderedPageBreak/>
        <w:t>Efficacy against target organisms</w:t>
      </w:r>
      <w:bookmarkEnd w:id="1349"/>
    </w:p>
    <w:p w14:paraId="660E7179" w14:textId="77777777" w:rsidR="00CF59EF" w:rsidRDefault="000B5D37" w:rsidP="00FD395A">
      <w:pPr>
        <w:pStyle w:val="Heading3"/>
      </w:pPr>
      <w:bookmarkStart w:id="1350" w:name="_Toc388282966"/>
      <w:bookmarkStart w:id="1351" w:name="_Toc388282518"/>
      <w:bookmarkStart w:id="1352" w:name="_Toc388282036"/>
      <w:bookmarkStart w:id="1353" w:name="_Toc388281580"/>
      <w:bookmarkStart w:id="1354" w:name="_Toc388282965"/>
      <w:bookmarkStart w:id="1355" w:name="_Toc388282517"/>
      <w:bookmarkStart w:id="1356" w:name="_Toc388282035"/>
      <w:bookmarkStart w:id="1357" w:name="_Toc388281579"/>
      <w:bookmarkStart w:id="1358" w:name="_Toc388282964"/>
      <w:bookmarkStart w:id="1359" w:name="_Toc388282516"/>
      <w:bookmarkStart w:id="1360" w:name="_Toc388282034"/>
      <w:bookmarkStart w:id="1361" w:name="_Toc388281578"/>
      <w:bookmarkStart w:id="1362" w:name="_Toc388282963"/>
      <w:bookmarkStart w:id="1363" w:name="_Toc388282515"/>
      <w:bookmarkStart w:id="1364" w:name="_Toc388282033"/>
      <w:bookmarkStart w:id="1365" w:name="_Toc388281577"/>
      <w:bookmarkStart w:id="1366" w:name="_Toc389729033"/>
      <w:bookmarkStart w:id="1367" w:name="_Toc389728675"/>
      <w:bookmarkStart w:id="1368" w:name="_Toc389728315"/>
      <w:bookmarkStart w:id="1369" w:name="_Toc389727956"/>
      <w:bookmarkStart w:id="1370" w:name="_Toc389727597"/>
      <w:bookmarkStart w:id="1371" w:name="_Toc389727239"/>
      <w:bookmarkStart w:id="1372" w:name="_Toc389726187"/>
      <w:bookmarkStart w:id="1373" w:name="_Toc388285279"/>
      <w:bookmarkStart w:id="1374" w:name="_Toc403566565"/>
      <w:bookmarkStart w:id="1375" w:name="_Toc403472744"/>
      <w:bookmarkStart w:id="1376" w:name="_Toc389729034"/>
      <w:bookmarkStart w:id="1377" w:name="_Toc531868657"/>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roofErr w:type="spellStart"/>
      <w:r>
        <w:t>Function</w:t>
      </w:r>
      <w:proofErr w:type="spellEnd"/>
      <w:r>
        <w:t xml:space="preserve"> and </w:t>
      </w:r>
      <w:proofErr w:type="spellStart"/>
      <w:r>
        <w:t>field</w:t>
      </w:r>
      <w:proofErr w:type="spellEnd"/>
      <w:r>
        <w:t xml:space="preserve"> of </w:t>
      </w:r>
      <w:proofErr w:type="spellStart"/>
      <w:r>
        <w:t>use</w:t>
      </w:r>
      <w:bookmarkEnd w:id="1374"/>
      <w:bookmarkEnd w:id="1375"/>
      <w:bookmarkEnd w:id="1376"/>
      <w:bookmarkEnd w:id="1377"/>
      <w:proofErr w:type="spellEnd"/>
    </w:p>
    <w:p w14:paraId="5324287D" w14:textId="77777777" w:rsidR="00CF59EF" w:rsidRDefault="000B5D37">
      <w:pPr>
        <w:spacing w:line="260" w:lineRule="atLeast"/>
        <w:rPr>
          <w:rFonts w:eastAsia="Calibri"/>
          <w:lang w:eastAsia="en-US"/>
        </w:rPr>
      </w:pPr>
      <w:proofErr w:type="spellStart"/>
      <w:r>
        <w:rPr>
          <w:rFonts w:eastAsia="Calibri"/>
          <w:iCs/>
          <w:lang w:eastAsia="en-US"/>
        </w:rPr>
        <w:t>Kalaguard</w:t>
      </w:r>
      <w:proofErr w:type="spellEnd"/>
      <w:r>
        <w:rPr>
          <w:rFonts w:eastAsia="Calibri"/>
          <w:iCs/>
          <w:vertAlign w:val="superscript"/>
          <w:lang w:eastAsia="en-US"/>
        </w:rPr>
        <w:t>®</w:t>
      </w:r>
      <w:r>
        <w:rPr>
          <w:rFonts w:eastAsia="Calibri"/>
          <w:iCs/>
          <w:lang w:eastAsia="en-US"/>
        </w:rPr>
        <w:t xml:space="preserve"> SB is an in-can preservative (PT6) based on 100% sodium benzoate (</w:t>
      </w:r>
      <w:r w:rsidR="00CF520A">
        <w:rPr>
          <w:rFonts w:eastAsia="Calibri"/>
          <w:iCs/>
          <w:lang w:eastAsia="en-US"/>
        </w:rPr>
        <w:t>&gt;</w:t>
      </w:r>
      <w:r>
        <w:rPr>
          <w:rFonts w:eastAsia="Calibri"/>
          <w:iCs/>
          <w:lang w:eastAsia="en-US"/>
        </w:rPr>
        <w:t>99.9</w:t>
      </w:r>
      <w:r w:rsidR="00CF520A">
        <w:rPr>
          <w:rFonts w:eastAsia="Calibri"/>
          <w:iCs/>
          <w:lang w:eastAsia="en-US"/>
        </w:rPr>
        <w:t>9</w:t>
      </w:r>
      <w:r>
        <w:rPr>
          <w:rFonts w:eastAsia="Calibri"/>
          <w:iCs/>
          <w:lang w:eastAsia="en-US"/>
        </w:rPr>
        <w:t>%</w:t>
      </w:r>
      <w:r w:rsidR="00CF520A">
        <w:rPr>
          <w:rFonts w:eastAsia="Calibri"/>
          <w:iCs/>
          <w:lang w:eastAsia="en-US"/>
        </w:rPr>
        <w:t xml:space="preserve"> (w/w)</w:t>
      </w:r>
      <w:r>
        <w:rPr>
          <w:rFonts w:eastAsia="Calibri"/>
          <w:iCs/>
          <w:lang w:eastAsia="en-US"/>
        </w:rPr>
        <w:t xml:space="preserve"> pure). The product is intended to be used for in-can preservation of detergents, such as dishwashing liquids, laundry products and cleaners. The product is intended for industrial application. </w:t>
      </w:r>
    </w:p>
    <w:p w14:paraId="2D323514" w14:textId="77777777" w:rsidR="00CF59EF" w:rsidRPr="00EB287D" w:rsidRDefault="000B5D37" w:rsidP="00FD395A">
      <w:pPr>
        <w:pStyle w:val="Heading3"/>
        <w:rPr>
          <w:lang w:val="en-US"/>
        </w:rPr>
      </w:pPr>
      <w:bookmarkStart w:id="1378" w:name="_Toc403566566"/>
      <w:bookmarkStart w:id="1379" w:name="_Toc403472745"/>
      <w:bookmarkStart w:id="1380" w:name="_Toc389729036"/>
      <w:bookmarkStart w:id="1381" w:name="_Toc531868658"/>
      <w:bookmarkEnd w:id="1378"/>
      <w:bookmarkEnd w:id="1379"/>
      <w:bookmarkEnd w:id="1380"/>
      <w:r w:rsidRPr="00EB287D">
        <w:rPr>
          <w:lang w:val="en-US"/>
        </w:rPr>
        <w:t>Organisms to be controlled and products, organisms or objects to be protected</w:t>
      </w:r>
      <w:bookmarkEnd w:id="1381"/>
    </w:p>
    <w:p w14:paraId="7A2B08CB" w14:textId="77777777" w:rsidR="00CF59EF" w:rsidRDefault="000B5D37">
      <w:pPr>
        <w:spacing w:line="260" w:lineRule="atLeast"/>
        <w:rPr>
          <w:rFonts w:eastAsia="Calibri"/>
          <w:lang w:eastAsia="en-US"/>
        </w:rPr>
      </w:pPr>
      <w:r>
        <w:rPr>
          <w:rFonts w:eastAsia="Calibri"/>
          <w:lang w:val="en-US" w:eastAsia="en-US"/>
        </w:rPr>
        <w:t xml:space="preserve">The product is used to prevent </w:t>
      </w:r>
      <w:r>
        <w:rPr>
          <w:rFonts w:eastAsia="Calibri"/>
          <w:lang w:eastAsia="en-US"/>
        </w:rPr>
        <w:t>bacterial</w:t>
      </w:r>
      <w:r w:rsidR="00A80FE0">
        <w:rPr>
          <w:rFonts w:eastAsia="Calibri"/>
          <w:lang w:eastAsia="en-US"/>
        </w:rPr>
        <w:t xml:space="preserve"> and</w:t>
      </w:r>
      <w:r>
        <w:rPr>
          <w:rFonts w:eastAsia="Calibri"/>
          <w:lang w:eastAsia="en-US"/>
        </w:rPr>
        <w:t xml:space="preserve"> yeast growth in detergents, including </w:t>
      </w:r>
      <w:r>
        <w:rPr>
          <w:rFonts w:eastAsia="Calibri"/>
          <w:iCs/>
          <w:lang w:eastAsia="en-US"/>
        </w:rPr>
        <w:t xml:space="preserve">dishwashing liquids, laundry products and cleaners. </w:t>
      </w:r>
    </w:p>
    <w:p w14:paraId="5FFD4D5A" w14:textId="77777777" w:rsidR="00CF59EF" w:rsidRPr="00EB287D" w:rsidRDefault="000B5D37" w:rsidP="00FD395A">
      <w:pPr>
        <w:pStyle w:val="Heading3"/>
        <w:rPr>
          <w:lang w:val="en-US"/>
        </w:rPr>
      </w:pPr>
      <w:bookmarkStart w:id="1382" w:name="_Toc403566567"/>
      <w:bookmarkStart w:id="1383" w:name="_Toc403472746"/>
      <w:bookmarkStart w:id="1384" w:name="_Toc389729037"/>
      <w:bookmarkStart w:id="1385" w:name="_Toc531868659"/>
      <w:bookmarkEnd w:id="1382"/>
      <w:bookmarkEnd w:id="1383"/>
      <w:bookmarkEnd w:id="1384"/>
      <w:r w:rsidRPr="00EB287D">
        <w:rPr>
          <w:lang w:val="en-US"/>
        </w:rPr>
        <w:t>Effects on target organisms, including unacceptable suffering</w:t>
      </w:r>
      <w:bookmarkEnd w:id="1385"/>
    </w:p>
    <w:p w14:paraId="138D6E68" w14:textId="77777777" w:rsidR="00CF59EF" w:rsidRDefault="000B5D37">
      <w:pPr>
        <w:spacing w:line="260" w:lineRule="atLeast"/>
        <w:jc w:val="both"/>
        <w:rPr>
          <w:rFonts w:eastAsia="Calibri"/>
          <w:iCs/>
          <w:szCs w:val="24"/>
          <w:lang w:eastAsia="en-US"/>
        </w:rPr>
      </w:pPr>
      <w:proofErr w:type="spellStart"/>
      <w:r>
        <w:rPr>
          <w:rFonts w:eastAsia="Calibri"/>
          <w:iCs/>
          <w:lang w:eastAsia="en-US"/>
        </w:rPr>
        <w:t>Kalaguard</w:t>
      </w:r>
      <w:proofErr w:type="spellEnd"/>
      <w:r>
        <w:rPr>
          <w:rFonts w:eastAsia="Calibri"/>
          <w:iCs/>
          <w:vertAlign w:val="superscript"/>
          <w:lang w:eastAsia="en-US"/>
        </w:rPr>
        <w:t>®</w:t>
      </w:r>
      <w:r>
        <w:rPr>
          <w:rFonts w:eastAsia="Calibri"/>
          <w:iCs/>
          <w:lang w:eastAsia="en-US"/>
        </w:rPr>
        <w:t xml:space="preserve"> SB </w:t>
      </w:r>
      <w:r>
        <w:rPr>
          <w:rFonts w:eastAsia="Calibri"/>
          <w:iCs/>
          <w:szCs w:val="24"/>
          <w:lang w:eastAsia="en-US"/>
        </w:rPr>
        <w:t>decreases the number of viable bacteria</w:t>
      </w:r>
      <w:r w:rsidR="00665F44">
        <w:rPr>
          <w:rFonts w:eastAsia="Calibri"/>
          <w:iCs/>
          <w:szCs w:val="24"/>
          <w:lang w:eastAsia="en-US"/>
        </w:rPr>
        <w:t xml:space="preserve"> and</w:t>
      </w:r>
      <w:r>
        <w:rPr>
          <w:rFonts w:eastAsia="Calibri"/>
          <w:iCs/>
          <w:szCs w:val="24"/>
          <w:lang w:eastAsia="en-US"/>
        </w:rPr>
        <w:t xml:space="preserve"> yeast. The activity increases with decreasing pH and diminishes above pH 7. The active substance sodium benzoate is also a well-known and widely used food preservative (E211) in the European Union. It is also used as a preservative in cosmetic products, as regulated by the EU Cosmetics Regulation (EC) No 1223/2009. </w:t>
      </w:r>
    </w:p>
    <w:p w14:paraId="33D15729" w14:textId="77777777" w:rsidR="00CF59EF" w:rsidRDefault="00CF59EF">
      <w:pPr>
        <w:spacing w:line="260" w:lineRule="atLeast"/>
        <w:rPr>
          <w:rFonts w:eastAsia="Calibri"/>
          <w:lang w:eastAsia="en-US"/>
        </w:rPr>
      </w:pPr>
    </w:p>
    <w:p w14:paraId="01098F66" w14:textId="77777777" w:rsidR="00CF59EF" w:rsidRPr="00EB287D" w:rsidRDefault="000B5D37" w:rsidP="00FD395A">
      <w:pPr>
        <w:pStyle w:val="Heading3"/>
        <w:rPr>
          <w:lang w:val="en-US"/>
        </w:rPr>
      </w:pPr>
      <w:bookmarkStart w:id="1386" w:name="_Toc403566568"/>
      <w:bookmarkStart w:id="1387" w:name="_Toc403472747"/>
      <w:bookmarkStart w:id="1388" w:name="_Toc389729038"/>
      <w:bookmarkStart w:id="1389" w:name="_Toc531868660"/>
      <w:bookmarkEnd w:id="1386"/>
      <w:bookmarkEnd w:id="1387"/>
      <w:bookmarkEnd w:id="1388"/>
      <w:r w:rsidRPr="00EB287D">
        <w:rPr>
          <w:lang w:val="en-US"/>
        </w:rPr>
        <w:t>Mode of action, including time delay</w:t>
      </w:r>
      <w:bookmarkEnd w:id="1389"/>
    </w:p>
    <w:p w14:paraId="66CEE4D0" w14:textId="77777777" w:rsidR="00CF59EF" w:rsidRDefault="000B5D37">
      <w:pPr>
        <w:spacing w:line="260" w:lineRule="atLeast"/>
        <w:rPr>
          <w:rFonts w:eastAsia="Calibri"/>
          <w:lang w:eastAsia="en-US"/>
        </w:rPr>
      </w:pPr>
      <w:r>
        <w:rPr>
          <w:rFonts w:eastAsia="Calibri"/>
          <w:lang w:eastAsia="en-US"/>
        </w:rPr>
        <w:t xml:space="preserve">It is generally accepted that the protonated benzoic acid is the active antimicrobial agent. This is also the reason why the activity of sodium benzoate increases at lower pH, as the ratio of protonated (i.e. free) benzoic acid to ionized benzoic acid increases with the decrease of </w:t>
      </w:r>
      <w:proofErr w:type="spellStart"/>
      <w:r>
        <w:rPr>
          <w:rFonts w:eastAsia="Calibri"/>
          <w:lang w:eastAsia="en-US"/>
        </w:rPr>
        <w:t>pH.</w:t>
      </w:r>
      <w:proofErr w:type="spellEnd"/>
      <w:r>
        <w:rPr>
          <w:rFonts w:eastAsia="Calibri"/>
          <w:lang w:eastAsia="en-US"/>
        </w:rPr>
        <w:t xml:space="preserve"> At a relatively low pH, the uncharged acid enters the cell. Inside the cell, the benzoic acid dissociates due to the higher </w:t>
      </w:r>
      <w:proofErr w:type="spellStart"/>
      <w:r>
        <w:rPr>
          <w:rFonts w:eastAsia="Calibri"/>
          <w:lang w:eastAsia="en-US"/>
        </w:rPr>
        <w:t>pH.</w:t>
      </w:r>
      <w:proofErr w:type="spellEnd"/>
      <w:r>
        <w:rPr>
          <w:rFonts w:eastAsia="Calibri"/>
          <w:lang w:eastAsia="en-US"/>
        </w:rPr>
        <w:t xml:space="preserve"> The molecules remain inside the cell, because the resulting ions cannot pass the membrane. The pH inside the cell is lowered and metabolic reactions are inhibited (</w:t>
      </w:r>
      <w:r w:rsidR="00710586" w:rsidRPr="00661EC3">
        <w:rPr>
          <w:rFonts w:eastAsia="Calibri"/>
          <w:lang w:eastAsia="en-US"/>
        </w:rPr>
        <w:t>active substance assessment report</w:t>
      </w:r>
      <w:r w:rsidR="00710586">
        <w:rPr>
          <w:rFonts w:eastAsia="Calibri"/>
          <w:lang w:eastAsia="en-US"/>
        </w:rPr>
        <w:t>s</w:t>
      </w:r>
      <w:r w:rsidR="00710586" w:rsidRPr="00661EC3">
        <w:rPr>
          <w:rFonts w:eastAsia="Calibri"/>
          <w:lang w:eastAsia="en-US"/>
        </w:rPr>
        <w:t xml:space="preserve"> for benzoic acid for PT3</w:t>
      </w:r>
      <w:r w:rsidR="00710586">
        <w:rPr>
          <w:rFonts w:eastAsia="Calibri"/>
          <w:lang w:eastAsia="en-US"/>
        </w:rPr>
        <w:t xml:space="preserve"> -</w:t>
      </w:r>
      <w:r w:rsidR="00710586" w:rsidRPr="00661EC3">
        <w:rPr>
          <w:rFonts w:eastAsia="Calibri"/>
          <w:lang w:eastAsia="en-US"/>
        </w:rPr>
        <w:t xml:space="preserve"> </w:t>
      </w:r>
      <w:hyperlink r:id="rId14" w:history="1">
        <w:r w:rsidR="00710586" w:rsidRPr="00661EC3">
          <w:rPr>
            <w:rFonts w:eastAsia="Calibri"/>
            <w:lang w:eastAsia="en-US"/>
          </w:rPr>
          <w:t>https://echa.europa.eu/documents/10162/f294be47-85b0-428f-2d71-430ef809c7d3</w:t>
        </w:r>
      </w:hyperlink>
      <w:r w:rsidR="00710586">
        <w:rPr>
          <w:rFonts w:eastAsia="Calibri"/>
          <w:lang w:eastAsia="en-US"/>
        </w:rPr>
        <w:t xml:space="preserve">, and PT4 - </w:t>
      </w:r>
      <w:hyperlink r:id="rId15" w:history="1">
        <w:r w:rsidR="00710586" w:rsidRPr="00710586">
          <w:rPr>
            <w:rFonts w:eastAsia="Calibri"/>
            <w:lang w:eastAsia="en-US"/>
          </w:rPr>
          <w:t>https://echa.europa.eu/documents/10162/40ead898-bda6-bf47-6cdc-d97911c3b54c</w:t>
        </w:r>
      </w:hyperlink>
      <w:r>
        <w:rPr>
          <w:rFonts w:eastAsia="Calibri"/>
          <w:lang w:eastAsia="en-US"/>
        </w:rPr>
        <w:t>).</w:t>
      </w:r>
    </w:p>
    <w:p w14:paraId="2A2CF893" w14:textId="77777777" w:rsidR="00CF59EF" w:rsidRDefault="00CF59EF">
      <w:pPr>
        <w:spacing w:line="260" w:lineRule="atLeast"/>
        <w:rPr>
          <w:rFonts w:eastAsia="Calibri"/>
          <w:lang w:eastAsia="en-US"/>
        </w:rPr>
      </w:pPr>
    </w:p>
    <w:p w14:paraId="1A48EBC2" w14:textId="77777777" w:rsidR="00CF59EF" w:rsidRDefault="000B5D37">
      <w:pPr>
        <w:spacing w:line="260" w:lineRule="atLeast"/>
        <w:rPr>
          <w:rFonts w:eastAsia="Calibri"/>
          <w:lang w:eastAsia="en-US"/>
        </w:rPr>
      </w:pPr>
      <w:r>
        <w:rPr>
          <w:rFonts w:eastAsia="Calibri"/>
          <w:lang w:eastAsia="en-US"/>
        </w:rPr>
        <w:t>Benzoic acid is also believed to uncouple substance transport and oxidative phosphorylation from the election transport system by making the cytoplasmic membrane freely permeable to protons (Lou et al., 2007). Benzoates interfere with the utilization of acetate required for the function of energy rich compounds, which results in blockage of cell metabolism (</w:t>
      </w:r>
      <w:proofErr w:type="spellStart"/>
      <w:r>
        <w:rPr>
          <w:rFonts w:eastAsia="Calibri"/>
          <w:lang w:eastAsia="en-US"/>
        </w:rPr>
        <w:t>Olutimayin</w:t>
      </w:r>
      <w:proofErr w:type="spellEnd"/>
      <w:r>
        <w:rPr>
          <w:rFonts w:eastAsia="Calibri"/>
          <w:lang w:eastAsia="en-US"/>
        </w:rPr>
        <w:t xml:space="preserve"> et al., 2001).  </w:t>
      </w:r>
    </w:p>
    <w:p w14:paraId="7A892878" w14:textId="77777777" w:rsidR="006738CA" w:rsidRDefault="006738CA">
      <w:pPr>
        <w:spacing w:line="260" w:lineRule="atLeast"/>
        <w:rPr>
          <w:rFonts w:eastAsia="Calibri"/>
          <w:lang w:eastAsia="en-US"/>
        </w:rPr>
      </w:pPr>
    </w:p>
    <w:p w14:paraId="7AE2903B" w14:textId="77777777" w:rsidR="00CF59EF" w:rsidRDefault="000B5D37" w:rsidP="00FD395A">
      <w:pPr>
        <w:pStyle w:val="Heading3"/>
      </w:pPr>
      <w:bookmarkStart w:id="1390" w:name="_Toc403566569"/>
      <w:bookmarkStart w:id="1391" w:name="_Toc403472748"/>
      <w:bookmarkStart w:id="1392" w:name="_Toc389729039"/>
      <w:bookmarkStart w:id="1393" w:name="_Toc531868661"/>
      <w:proofErr w:type="spellStart"/>
      <w:r>
        <w:t>Efficacy</w:t>
      </w:r>
      <w:proofErr w:type="spellEnd"/>
      <w:r>
        <w:t xml:space="preserve"> </w:t>
      </w:r>
      <w:proofErr w:type="spellStart"/>
      <w:r>
        <w:t>data</w:t>
      </w:r>
      <w:bookmarkEnd w:id="1390"/>
      <w:bookmarkEnd w:id="1391"/>
      <w:bookmarkEnd w:id="1392"/>
      <w:bookmarkEnd w:id="1393"/>
      <w:proofErr w:type="spellEnd"/>
      <w:r>
        <w:t xml:space="preserve"> </w:t>
      </w:r>
    </w:p>
    <w:p w14:paraId="60C42563" w14:textId="77777777" w:rsidR="00CF59EF" w:rsidRDefault="00CF59EF">
      <w:pPr>
        <w:rPr>
          <w:rFonts w:ascii="Times New Roman" w:eastAsia="Calibri" w:hAnsi="Times New Roman" w:cs="Arial"/>
          <w:bCs/>
          <w:i/>
          <w:caps/>
          <w:szCs w:val="28"/>
          <w:lang w:eastAsia="en-US"/>
        </w:rPr>
        <w:sectPr w:rsidR="00CF59EF">
          <w:headerReference w:type="default" r:id="rId16"/>
          <w:footerReference w:type="default" r:id="rId17"/>
          <w:pgSz w:w="11906" w:h="16838"/>
          <w:pgMar w:top="1474" w:right="1247" w:bottom="2013" w:left="1446" w:header="850" w:footer="850" w:gutter="0"/>
          <w:cols w:space="708"/>
          <w:formProt w:val="0"/>
          <w:docGrid w:linePitch="272" w:charSpace="2047"/>
        </w:sectPr>
      </w:pPr>
    </w:p>
    <w:p w14:paraId="5FDB2DD7" w14:textId="77777777" w:rsidR="00CF59EF" w:rsidRDefault="00CF59EF">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256"/>
        <w:gridCol w:w="1350"/>
        <w:gridCol w:w="1306"/>
        <w:gridCol w:w="1522"/>
        <w:gridCol w:w="1782"/>
        <w:gridCol w:w="1635"/>
        <w:gridCol w:w="2387"/>
        <w:gridCol w:w="2100"/>
      </w:tblGrid>
      <w:tr w:rsidR="00CF59EF" w:rsidRPr="00FD395A" w14:paraId="53A75D97" w14:textId="77777777" w:rsidTr="006E56BD">
        <w:trPr>
          <w:trHeight w:val="303"/>
        </w:trPr>
        <w:tc>
          <w:tcPr>
            <w:tcW w:w="13491" w:type="dxa"/>
            <w:gridSpan w:val="8"/>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14:paraId="767A7A01" w14:textId="77777777" w:rsidR="00CF59EF" w:rsidRPr="00FD395A" w:rsidRDefault="000B5D37">
            <w:pPr>
              <w:jc w:val="center"/>
              <w:rPr>
                <w:b/>
                <w:color w:val="000000"/>
                <w:sz w:val="16"/>
                <w:szCs w:val="16"/>
              </w:rPr>
            </w:pPr>
            <w:r w:rsidRPr="00FD395A">
              <w:rPr>
                <w:b/>
                <w:color w:val="000000"/>
                <w:sz w:val="16"/>
                <w:szCs w:val="16"/>
              </w:rPr>
              <w:t>Experimental data on the efficacy of the biocidal product against target organism(s)</w:t>
            </w:r>
          </w:p>
        </w:tc>
      </w:tr>
      <w:tr w:rsidR="00CF59EF" w:rsidRPr="00FD395A" w14:paraId="0906F655" w14:textId="77777777" w:rsidTr="006E56BD">
        <w:tc>
          <w:tcPr>
            <w:tcW w:w="1263" w:type="dxa"/>
            <w:tcBorders>
              <w:top w:val="single" w:sz="6" w:space="0" w:color="00000A"/>
              <w:left w:val="single" w:sz="4" w:space="0" w:color="00000A"/>
              <w:bottom w:val="single" w:sz="6" w:space="0" w:color="00000A"/>
              <w:right w:val="single" w:sz="6" w:space="0" w:color="00000A"/>
            </w:tcBorders>
            <w:shd w:val="clear" w:color="auto" w:fill="FFFFFF"/>
            <w:tcMar>
              <w:left w:w="70" w:type="dxa"/>
            </w:tcMar>
          </w:tcPr>
          <w:p w14:paraId="56BE52FB" w14:textId="77777777" w:rsidR="00CF59EF" w:rsidRPr="00FD395A" w:rsidRDefault="000B5D37">
            <w:pPr>
              <w:jc w:val="center"/>
              <w:rPr>
                <w:b/>
                <w:color w:val="000000"/>
                <w:sz w:val="16"/>
                <w:szCs w:val="16"/>
              </w:rPr>
            </w:pPr>
            <w:r w:rsidRPr="00FD395A">
              <w:rPr>
                <w:b/>
                <w:color w:val="000000"/>
                <w:sz w:val="16"/>
                <w:szCs w:val="16"/>
              </w:rPr>
              <w:t>Function</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E823AF4" w14:textId="77777777" w:rsidR="00CF59EF" w:rsidRPr="00FD395A" w:rsidRDefault="000B5D37">
            <w:pPr>
              <w:rPr>
                <w:b/>
                <w:color w:val="000000"/>
                <w:sz w:val="16"/>
                <w:szCs w:val="16"/>
              </w:rPr>
            </w:pPr>
            <w:r w:rsidRPr="00FD395A">
              <w:rPr>
                <w:b/>
                <w:color w:val="000000"/>
                <w:sz w:val="16"/>
                <w:szCs w:val="16"/>
              </w:rPr>
              <w:t>Field of use envisaged</w:t>
            </w:r>
          </w:p>
        </w:tc>
        <w:tc>
          <w:tcPr>
            <w:tcW w:w="1312"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51C7F54" w14:textId="77777777" w:rsidR="00CF59EF" w:rsidRPr="00FD395A" w:rsidRDefault="000B5D37">
            <w:pPr>
              <w:rPr>
                <w:b/>
                <w:i/>
                <w:color w:val="000000"/>
                <w:sz w:val="16"/>
                <w:szCs w:val="16"/>
              </w:rPr>
            </w:pPr>
            <w:r w:rsidRPr="00FD395A">
              <w:rPr>
                <w:b/>
                <w:color w:val="000000"/>
                <w:sz w:val="16"/>
                <w:szCs w:val="16"/>
              </w:rPr>
              <w:t>Test substance</w:t>
            </w:r>
          </w:p>
        </w:tc>
        <w:tc>
          <w:tcPr>
            <w:tcW w:w="1529"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714D8770" w14:textId="77777777" w:rsidR="00CF59EF" w:rsidRPr="00FD395A" w:rsidRDefault="000B5D37">
            <w:pPr>
              <w:rPr>
                <w:b/>
                <w:i/>
                <w:color w:val="000000"/>
                <w:sz w:val="16"/>
                <w:szCs w:val="16"/>
              </w:rPr>
            </w:pPr>
            <w:r w:rsidRPr="00FD395A">
              <w:rPr>
                <w:b/>
                <w:color w:val="000000"/>
                <w:sz w:val="16"/>
                <w:szCs w:val="16"/>
              </w:rPr>
              <w:t>Test organism(s)</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651D04B" w14:textId="77777777" w:rsidR="00CF59EF" w:rsidRPr="00FD395A" w:rsidRDefault="000B5D37">
            <w:pPr>
              <w:rPr>
                <w:b/>
                <w:color w:val="000000"/>
                <w:sz w:val="16"/>
                <w:szCs w:val="16"/>
              </w:rPr>
            </w:pPr>
            <w:r w:rsidRPr="00FD395A">
              <w:rPr>
                <w:b/>
                <w:color w:val="000000"/>
                <w:sz w:val="16"/>
                <w:szCs w:val="16"/>
              </w:rPr>
              <w:t>Test method</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4BB0A9C8" w14:textId="77777777" w:rsidR="00CF59EF" w:rsidRPr="00FD395A" w:rsidRDefault="000B5D37">
            <w:pPr>
              <w:rPr>
                <w:b/>
                <w:color w:val="000000"/>
                <w:sz w:val="16"/>
                <w:szCs w:val="16"/>
              </w:rPr>
            </w:pPr>
            <w:r w:rsidRPr="00FD395A">
              <w:rPr>
                <w:b/>
                <w:color w:val="000000"/>
                <w:sz w:val="16"/>
                <w:szCs w:val="16"/>
              </w:rPr>
              <w:t>Test system / concentrations applied / exposure time</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14:paraId="536E4402" w14:textId="77777777" w:rsidR="00CF59EF" w:rsidRPr="00FD395A" w:rsidRDefault="000B5D37">
            <w:pPr>
              <w:rPr>
                <w:b/>
                <w:color w:val="000000"/>
                <w:sz w:val="16"/>
                <w:szCs w:val="16"/>
              </w:rPr>
            </w:pPr>
            <w:r w:rsidRPr="00FD395A">
              <w:rPr>
                <w:b/>
                <w:color w:val="000000"/>
                <w:sz w:val="16"/>
                <w:szCs w:val="16"/>
              </w:rPr>
              <w:t>Test results: effects</w:t>
            </w:r>
          </w:p>
        </w:tc>
        <w:tc>
          <w:tcPr>
            <w:tcW w:w="2153" w:type="dxa"/>
            <w:tcBorders>
              <w:top w:val="single" w:sz="6" w:space="0" w:color="00000A"/>
              <w:left w:val="single" w:sz="6" w:space="0" w:color="00000A"/>
              <w:bottom w:val="single" w:sz="6" w:space="0" w:color="00000A"/>
              <w:right w:val="single" w:sz="4" w:space="0" w:color="00000A"/>
            </w:tcBorders>
            <w:shd w:val="clear" w:color="auto" w:fill="FFFFFF"/>
            <w:tcMar>
              <w:left w:w="67" w:type="dxa"/>
            </w:tcMar>
          </w:tcPr>
          <w:p w14:paraId="4833DF36" w14:textId="77777777" w:rsidR="00CF59EF" w:rsidRPr="00FD395A" w:rsidRDefault="000B5D37">
            <w:pPr>
              <w:rPr>
                <w:b/>
                <w:color w:val="000000"/>
                <w:sz w:val="16"/>
                <w:szCs w:val="16"/>
              </w:rPr>
            </w:pPr>
            <w:r w:rsidRPr="00FD395A">
              <w:rPr>
                <w:b/>
                <w:color w:val="000000"/>
                <w:sz w:val="16"/>
                <w:szCs w:val="16"/>
              </w:rPr>
              <w:t>Reference</w:t>
            </w:r>
          </w:p>
        </w:tc>
      </w:tr>
      <w:tr w:rsidR="00CF59EF" w:rsidRPr="00FD395A" w14:paraId="5E58C16B" w14:textId="77777777" w:rsidTr="00237E35">
        <w:trPr>
          <w:trHeight w:val="3585"/>
        </w:trPr>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6B24DAF1" w14:textId="77777777"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FF03500" w14:textId="77777777"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D2E3F1B" w14:textId="77777777" w:rsidR="00CF59EF" w:rsidRPr="00FD395A" w:rsidRDefault="000B5D37">
            <w:pPr>
              <w:rPr>
                <w:color w:val="000000"/>
                <w:sz w:val="16"/>
                <w:szCs w:val="16"/>
              </w:rPr>
            </w:pPr>
            <w:r w:rsidRPr="00FD395A">
              <w:rPr>
                <w:color w:val="000000"/>
                <w:sz w:val="16"/>
                <w:szCs w:val="16"/>
              </w:rPr>
              <w:t>Sodium benzoate at 0.01, 0.025, 0.05, 0.25, 0.5, 1.0, 1.75, 2.0, 2.25 and 2.5 % in tryptic soy broth-based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237BD42" w14:textId="77777777" w:rsidR="00CF59EF" w:rsidRPr="00FD395A" w:rsidRDefault="000B5D37">
            <w:pPr>
              <w:rPr>
                <w:color w:val="000000"/>
                <w:sz w:val="16"/>
                <w:szCs w:val="16"/>
              </w:rPr>
            </w:pPr>
            <w:r w:rsidRPr="00FD395A">
              <w:rPr>
                <w:i/>
                <w:color w:val="000000"/>
                <w:sz w:val="16"/>
                <w:szCs w:val="16"/>
              </w:rPr>
              <w:t xml:space="preserve">E. coli </w:t>
            </w:r>
            <w:r w:rsidRPr="00FD395A">
              <w:rPr>
                <w:color w:val="000000"/>
                <w:sz w:val="16"/>
                <w:szCs w:val="16"/>
              </w:rPr>
              <w:t>(ATCC 8739)</w:t>
            </w:r>
          </w:p>
          <w:p w14:paraId="1F646DA3" w14:textId="77777777" w:rsidR="00CF59EF" w:rsidRPr="00FD395A" w:rsidRDefault="000B5D37">
            <w:pPr>
              <w:rPr>
                <w:color w:val="000000"/>
                <w:sz w:val="16"/>
                <w:szCs w:val="16"/>
              </w:rPr>
            </w:pPr>
            <w:r w:rsidRPr="00FD395A">
              <w:rPr>
                <w:i/>
                <w:color w:val="000000"/>
                <w:sz w:val="16"/>
                <w:szCs w:val="16"/>
              </w:rPr>
              <w:t xml:space="preserve">S. aureus </w:t>
            </w:r>
            <w:r w:rsidRPr="00FD395A">
              <w:rPr>
                <w:color w:val="000000"/>
                <w:sz w:val="16"/>
                <w:szCs w:val="16"/>
              </w:rPr>
              <w:t>(ATCC 6538)</w:t>
            </w:r>
          </w:p>
          <w:p w14:paraId="6ACEC5D4" w14:textId="77777777" w:rsidR="00CF59EF" w:rsidRPr="00FD395A" w:rsidRDefault="000B5D37">
            <w:pPr>
              <w:rPr>
                <w:color w:val="000000"/>
                <w:sz w:val="16"/>
                <w:szCs w:val="16"/>
              </w:rPr>
            </w:pPr>
            <w:r w:rsidRPr="00FD395A">
              <w:rPr>
                <w:i/>
                <w:color w:val="000000"/>
                <w:sz w:val="16"/>
                <w:szCs w:val="16"/>
              </w:rPr>
              <w:t xml:space="preserve">P. aeruginosa </w:t>
            </w:r>
            <w:r w:rsidRPr="00FD395A">
              <w:rPr>
                <w:color w:val="000000"/>
                <w:sz w:val="16"/>
                <w:szCs w:val="16"/>
              </w:rPr>
              <w:t>(ATCC 9027)</w:t>
            </w:r>
          </w:p>
          <w:p w14:paraId="19883806" w14:textId="77777777" w:rsidR="00CF59EF" w:rsidRPr="00FD395A" w:rsidRDefault="000B5D37">
            <w:pPr>
              <w:rPr>
                <w:color w:val="000000"/>
                <w:sz w:val="16"/>
                <w:szCs w:val="16"/>
              </w:rPr>
            </w:pPr>
            <w:r w:rsidRPr="00FD395A">
              <w:rPr>
                <w:i/>
                <w:color w:val="000000"/>
                <w:sz w:val="16"/>
                <w:szCs w:val="16"/>
              </w:rPr>
              <w:t>C. albicans</w:t>
            </w:r>
            <w:r w:rsidRPr="00FD395A">
              <w:rPr>
                <w:color w:val="000000"/>
                <w:sz w:val="16"/>
                <w:szCs w:val="16"/>
              </w:rPr>
              <w:t xml:space="preserve"> (ATCC 10231)</w:t>
            </w:r>
          </w:p>
          <w:p w14:paraId="19DA0823" w14:textId="77777777"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C76E4E7" w14:textId="77777777" w:rsidR="00CF59EF" w:rsidRPr="00FD395A" w:rsidRDefault="002F4C58">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14:paraId="583868FA" w14:textId="77777777" w:rsidR="00CF59EF" w:rsidRPr="00FD395A" w:rsidRDefault="00CF59EF">
            <w:pPr>
              <w:rPr>
                <w:color w:val="000000"/>
                <w:sz w:val="16"/>
                <w:szCs w:val="16"/>
              </w:rPr>
            </w:pPr>
          </w:p>
          <w:p w14:paraId="072030B7" w14:textId="77777777" w:rsidR="00CF59EF" w:rsidRPr="00FD395A" w:rsidRDefault="000B5D37">
            <w:pPr>
              <w:rPr>
                <w:color w:val="000000"/>
                <w:sz w:val="16"/>
                <w:szCs w:val="16"/>
              </w:rPr>
            </w:pPr>
            <w:r w:rsidRPr="00FD395A">
              <w:rPr>
                <w:color w:val="000000"/>
                <w:sz w:val="16"/>
                <w:szCs w:val="16"/>
              </w:rPr>
              <w:t xml:space="preserve">Frequency or level of infestation / infection: </w:t>
            </w:r>
          </w:p>
          <w:p w14:paraId="78F9938D" w14:textId="77777777" w:rsidR="00CF59EF" w:rsidRPr="00FD395A" w:rsidRDefault="000B5D37">
            <w:pPr>
              <w:rPr>
                <w:color w:val="000000"/>
                <w:sz w:val="16"/>
                <w:szCs w:val="16"/>
              </w:rPr>
            </w:pPr>
            <w:r w:rsidRPr="00FD395A">
              <w:rPr>
                <w:color w:val="000000"/>
                <w:sz w:val="16"/>
                <w:szCs w:val="16"/>
              </w:rPr>
              <w:t xml:space="preserve">single inoculation </w:t>
            </w:r>
          </w:p>
          <w:p w14:paraId="199E7579" w14:textId="77777777" w:rsidR="00CF59EF" w:rsidRPr="00FD395A" w:rsidRDefault="000B5D37">
            <w:pPr>
              <w:rPr>
                <w:color w:val="000000"/>
                <w:sz w:val="16"/>
                <w:szCs w:val="16"/>
              </w:rPr>
            </w:pPr>
            <w:r w:rsidRPr="00FD395A">
              <w:rPr>
                <w:color w:val="000000"/>
                <w:sz w:val="16"/>
                <w:szCs w:val="16"/>
              </w:rPr>
              <w:t xml:space="preserve"> </w:t>
            </w:r>
          </w:p>
          <w:p w14:paraId="6F0D5023" w14:textId="77777777" w:rsidR="00CF59EF" w:rsidRPr="00FD395A" w:rsidRDefault="000B5D37">
            <w:pPr>
              <w:rPr>
                <w:color w:val="000000"/>
                <w:sz w:val="16"/>
                <w:szCs w:val="16"/>
              </w:rPr>
            </w:pPr>
            <w:r w:rsidRPr="00FD395A">
              <w:rPr>
                <w:color w:val="000000"/>
                <w:sz w:val="16"/>
                <w:szCs w:val="16"/>
              </w:rPr>
              <w:t>Number of replicates: duplicates when plating</w:t>
            </w:r>
          </w:p>
          <w:p w14:paraId="6CC83CDB" w14:textId="77777777" w:rsidR="00B064A1" w:rsidRPr="00FD395A" w:rsidRDefault="00B064A1">
            <w:pPr>
              <w:rPr>
                <w:color w:val="000000"/>
                <w:sz w:val="16"/>
                <w:szCs w:val="16"/>
              </w:rPr>
            </w:pPr>
          </w:p>
          <w:p w14:paraId="58D39E5C" w14:textId="77777777" w:rsidR="00B064A1" w:rsidRPr="00FD395A" w:rsidRDefault="00B064A1">
            <w:pPr>
              <w:rPr>
                <w:color w:val="000000"/>
                <w:sz w:val="16"/>
                <w:szCs w:val="16"/>
              </w:rPr>
            </w:pPr>
            <w:r w:rsidRPr="009B29B1">
              <w:rPr>
                <w:color w:val="000000"/>
                <w:sz w:val="16"/>
                <w:szCs w:val="16"/>
              </w:rPr>
              <w:t>Tier 1</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96F128D" w14:textId="77777777" w:rsidR="000E3394" w:rsidRDefault="000B5D37">
            <w:pPr>
              <w:rPr>
                <w:color w:val="000000"/>
                <w:sz w:val="16"/>
                <w:szCs w:val="16"/>
              </w:rPr>
            </w:pPr>
            <w:r w:rsidRPr="009B29B1">
              <w:rPr>
                <w:color w:val="000000"/>
                <w:sz w:val="16"/>
                <w:szCs w:val="16"/>
              </w:rPr>
              <w:t>Tryptic Soy Broth-based formulation pH 5.5 / 0</w:t>
            </w:r>
            <w:r w:rsidRPr="00FD395A">
              <w:rPr>
                <w:color w:val="000000"/>
                <w:sz w:val="16"/>
                <w:szCs w:val="16"/>
              </w:rPr>
              <w:t xml:space="preserve"> (unpreserved control) and 0.01, 0.025, 0.05, 0.25, 0.5, 1.0, 1.75, 2.0, 2.25 and 2.5 % sodium benzoate /0, 2, 7, 14 and 28 days</w:t>
            </w:r>
          </w:p>
          <w:p w14:paraId="452790FA" w14:textId="77777777" w:rsidR="000E3394" w:rsidRDefault="000E3394">
            <w:pPr>
              <w:rPr>
                <w:color w:val="000000"/>
                <w:sz w:val="16"/>
                <w:szCs w:val="16"/>
              </w:rPr>
            </w:pPr>
          </w:p>
          <w:p w14:paraId="19F193ED" w14:textId="77777777" w:rsidR="000E3394" w:rsidRDefault="000E3394">
            <w:pPr>
              <w:rPr>
                <w:color w:val="000000"/>
                <w:sz w:val="16"/>
                <w:szCs w:val="16"/>
              </w:rPr>
            </w:pPr>
            <w:r>
              <w:rPr>
                <w:color w:val="000000"/>
                <w:sz w:val="16"/>
                <w:szCs w:val="16"/>
              </w:rPr>
              <w:t>Initial inoculum:</w:t>
            </w:r>
          </w:p>
          <w:p w14:paraId="63C49B0D" w14:textId="77777777" w:rsidR="00635743" w:rsidRDefault="000E3394">
            <w:pPr>
              <w:rPr>
                <w:color w:val="000000"/>
                <w:sz w:val="16"/>
                <w:szCs w:val="16"/>
              </w:rPr>
            </w:pPr>
            <w:r>
              <w:rPr>
                <w:color w:val="000000"/>
                <w:sz w:val="16"/>
                <w:szCs w:val="16"/>
              </w:rPr>
              <w:t>&gt; 1.0x10</w:t>
            </w:r>
            <w:r w:rsidRPr="000E3394">
              <w:rPr>
                <w:color w:val="000000"/>
                <w:sz w:val="16"/>
                <w:szCs w:val="16"/>
                <w:vertAlign w:val="superscript"/>
              </w:rPr>
              <w:t>5</w:t>
            </w:r>
            <w:r>
              <w:rPr>
                <w:color w:val="000000"/>
                <w:sz w:val="16"/>
                <w:szCs w:val="16"/>
              </w:rPr>
              <w:t xml:space="preserve"> CFU</w:t>
            </w:r>
            <w:r w:rsidR="00635743">
              <w:rPr>
                <w:color w:val="000000"/>
                <w:sz w:val="16"/>
                <w:szCs w:val="16"/>
              </w:rPr>
              <w:t>/ml</w:t>
            </w:r>
          </w:p>
          <w:p w14:paraId="087D2528" w14:textId="77777777" w:rsidR="00635743" w:rsidRDefault="00635743">
            <w:pPr>
              <w:rPr>
                <w:color w:val="000000"/>
                <w:sz w:val="16"/>
                <w:szCs w:val="16"/>
              </w:rPr>
            </w:pPr>
          </w:p>
          <w:p w14:paraId="4407246E" w14:textId="77777777" w:rsidR="00CF59EF" w:rsidRPr="00FD395A" w:rsidRDefault="00CF59EF">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10D72F1" w14:textId="77777777" w:rsidR="0057647F" w:rsidRPr="00FD395A" w:rsidRDefault="0057647F" w:rsidP="0057647F">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14 days:</w:t>
            </w:r>
          </w:p>
          <w:p w14:paraId="5BFF5F5E" w14:textId="77777777" w:rsidR="0057647F" w:rsidRPr="00FD395A" w:rsidRDefault="0057647F" w:rsidP="0057647F">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sidRPr="00FD395A">
              <w:rPr>
                <w:color w:val="000000"/>
                <w:sz w:val="16"/>
                <w:szCs w:val="16"/>
                <w:lang w:val="en-US"/>
              </w:rPr>
              <w:t>1%</w:t>
            </w:r>
          </w:p>
          <w:p w14:paraId="6EFA6E7D" w14:textId="77777777" w:rsidR="0057647F" w:rsidRPr="00FD395A" w:rsidRDefault="0057647F" w:rsidP="0057647F">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0.5%</w:t>
            </w:r>
          </w:p>
          <w:p w14:paraId="186DAD58" w14:textId="77777777" w:rsidR="0057647F" w:rsidRPr="00FD395A" w:rsidRDefault="0057647F" w:rsidP="0057647F">
            <w:pPr>
              <w:rPr>
                <w:color w:val="000000"/>
                <w:sz w:val="16"/>
                <w:szCs w:val="16"/>
                <w:lang w:val="en-US"/>
              </w:rPr>
            </w:pPr>
            <w:r w:rsidRPr="00FD395A">
              <w:rPr>
                <w:i/>
                <w:color w:val="000000"/>
                <w:sz w:val="16"/>
                <w:szCs w:val="16"/>
                <w:lang w:val="en-US"/>
              </w:rPr>
              <w:t>P. aeruginosa</w:t>
            </w:r>
            <w:r w:rsidRPr="00FD395A">
              <w:rPr>
                <w:color w:val="000000"/>
                <w:sz w:val="16"/>
                <w:szCs w:val="16"/>
                <w:lang w:val="en-US"/>
              </w:rPr>
              <w:t>: 0.25%</w:t>
            </w:r>
          </w:p>
          <w:p w14:paraId="429FCD3B" w14:textId="77777777" w:rsidR="0057647F" w:rsidRPr="00FD395A" w:rsidRDefault="0057647F" w:rsidP="0057647F">
            <w:pPr>
              <w:rPr>
                <w:color w:val="000000"/>
                <w:sz w:val="16"/>
                <w:szCs w:val="16"/>
                <w:lang w:val="en-US"/>
              </w:rPr>
            </w:pPr>
          </w:p>
          <w:p w14:paraId="0791161F" w14:textId="77777777" w:rsidR="00237E35" w:rsidRDefault="0057647F" w:rsidP="0057647F">
            <w:pPr>
              <w:rPr>
                <w:color w:val="000000"/>
                <w:sz w:val="16"/>
                <w:szCs w:val="16"/>
                <w:lang w:val="en-US"/>
              </w:rPr>
            </w:pPr>
            <w:r w:rsidRPr="00FD395A">
              <w:rPr>
                <w:color w:val="000000"/>
                <w:sz w:val="16"/>
                <w:szCs w:val="16"/>
                <w:lang w:val="en-US"/>
              </w:rPr>
              <w:t xml:space="preserve">No increase at 14 days: </w:t>
            </w:r>
          </w:p>
          <w:p w14:paraId="640A53E3" w14:textId="77777777" w:rsidR="0057647F" w:rsidRPr="00FD395A" w:rsidRDefault="0057647F" w:rsidP="0057647F">
            <w:pPr>
              <w:rPr>
                <w:color w:val="000000"/>
                <w:sz w:val="16"/>
                <w:szCs w:val="16"/>
                <w:lang w:val="en-US"/>
              </w:rPr>
            </w:pPr>
            <w:r w:rsidRPr="00FD395A">
              <w:rPr>
                <w:i/>
                <w:color w:val="000000"/>
                <w:sz w:val="16"/>
                <w:szCs w:val="16"/>
                <w:lang w:val="en-US"/>
              </w:rPr>
              <w:t>C. albicans</w:t>
            </w:r>
            <w:r w:rsidRPr="00FD395A">
              <w:rPr>
                <w:color w:val="000000"/>
                <w:sz w:val="16"/>
                <w:szCs w:val="16"/>
                <w:lang w:val="en-US"/>
              </w:rPr>
              <w:t>: 0.5%</w:t>
            </w:r>
          </w:p>
          <w:p w14:paraId="7B41273E" w14:textId="77777777" w:rsidR="0057647F" w:rsidRPr="00FD395A" w:rsidRDefault="0057647F" w:rsidP="0057647F">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1%</w:t>
            </w:r>
          </w:p>
          <w:p w14:paraId="0D8B786D" w14:textId="77777777" w:rsidR="00237E35" w:rsidRDefault="00237E35" w:rsidP="00237E35">
            <w:pPr>
              <w:rPr>
                <w:color w:val="000000"/>
                <w:sz w:val="16"/>
                <w:szCs w:val="16"/>
                <w:lang w:val="en-US"/>
              </w:rPr>
            </w:pPr>
          </w:p>
          <w:p w14:paraId="3A97ADA9" w14:textId="77777777" w:rsidR="005B12BD" w:rsidRDefault="00237E35" w:rsidP="00237E35">
            <w:pPr>
              <w:rPr>
                <w:color w:val="000000"/>
                <w:sz w:val="16"/>
                <w:szCs w:val="16"/>
                <w:lang w:val="en-US"/>
              </w:rPr>
            </w:pPr>
            <w:r>
              <w:rPr>
                <w:color w:val="000000"/>
                <w:sz w:val="16"/>
                <w:szCs w:val="16"/>
                <w:lang w:val="en-US"/>
              </w:rPr>
              <w:t xml:space="preserve">Untreated controls </w:t>
            </w:r>
            <w:r w:rsidR="005B12BD">
              <w:rPr>
                <w:color w:val="000000"/>
                <w:sz w:val="16"/>
                <w:szCs w:val="16"/>
                <w:lang w:val="en-US"/>
              </w:rPr>
              <w:t xml:space="preserve">(0%) </w:t>
            </w:r>
            <w:r>
              <w:rPr>
                <w:color w:val="000000"/>
                <w:sz w:val="16"/>
                <w:szCs w:val="16"/>
                <w:lang w:val="en-US"/>
              </w:rPr>
              <w:t>at 14</w:t>
            </w:r>
            <w:r w:rsidR="005B12BD">
              <w:rPr>
                <w:color w:val="000000"/>
                <w:sz w:val="16"/>
                <w:szCs w:val="16"/>
                <w:lang w:val="en-US"/>
              </w:rPr>
              <w:t xml:space="preserve"> days:</w:t>
            </w:r>
          </w:p>
          <w:p w14:paraId="67EE11D8" w14:textId="77777777" w:rsidR="00D03356" w:rsidRPr="00FD395A" w:rsidRDefault="00D03356" w:rsidP="00D03356">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 - TNTC</w:t>
            </w:r>
          </w:p>
          <w:p w14:paraId="332F896D" w14:textId="77777777" w:rsidR="00D03356" w:rsidRPr="00FD395A" w:rsidRDefault="00D03356" w:rsidP="00D03356">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 - TNTC</w:t>
            </w:r>
          </w:p>
          <w:p w14:paraId="41B7DB09" w14:textId="77777777" w:rsidR="00D03356" w:rsidRPr="00FD395A" w:rsidRDefault="00D03356" w:rsidP="00D03356">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 - TNTC</w:t>
            </w:r>
          </w:p>
          <w:p w14:paraId="455ACA33" w14:textId="77777777" w:rsidR="00237E35" w:rsidRPr="00FD395A" w:rsidRDefault="005B12BD" w:rsidP="00237E35">
            <w:pPr>
              <w:rPr>
                <w:color w:val="000000"/>
                <w:sz w:val="16"/>
                <w:szCs w:val="16"/>
                <w:lang w:val="en-US"/>
              </w:rPr>
            </w:pPr>
            <w:r w:rsidRPr="005B12BD">
              <w:rPr>
                <w:i/>
                <w:color w:val="000000"/>
                <w:sz w:val="16"/>
                <w:szCs w:val="16"/>
                <w:lang w:val="en-US"/>
              </w:rPr>
              <w:t xml:space="preserve">C. </w:t>
            </w:r>
            <w:proofErr w:type="spellStart"/>
            <w:r w:rsidRPr="005B12BD">
              <w:rPr>
                <w:i/>
                <w:color w:val="000000"/>
                <w:sz w:val="16"/>
                <w:szCs w:val="16"/>
                <w:lang w:val="en-US"/>
              </w:rPr>
              <w:t>albicans</w:t>
            </w:r>
            <w:r>
              <w:rPr>
                <w:color w:val="000000"/>
                <w:sz w:val="16"/>
                <w:szCs w:val="16"/>
                <w:lang w:val="en-US"/>
              </w:rPr>
              <w:t>:increase</w:t>
            </w:r>
            <w:proofErr w:type="spellEnd"/>
            <w:r>
              <w:rPr>
                <w:color w:val="000000"/>
                <w:sz w:val="16"/>
                <w:szCs w:val="16"/>
                <w:lang w:val="en-US"/>
              </w:rPr>
              <w:t xml:space="preserve"> - TNTC</w:t>
            </w:r>
          </w:p>
          <w:p w14:paraId="470BEFE0" w14:textId="77777777" w:rsidR="0057647F" w:rsidRDefault="005B12BD" w:rsidP="0057647F">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decrease</w:t>
            </w:r>
          </w:p>
          <w:p w14:paraId="2FFE4D0D" w14:textId="77777777" w:rsidR="005B12BD" w:rsidRPr="00FD395A" w:rsidRDefault="005B12BD" w:rsidP="0057647F">
            <w:pPr>
              <w:rPr>
                <w:color w:val="000000"/>
                <w:sz w:val="16"/>
                <w:szCs w:val="16"/>
                <w:lang w:val="en-US"/>
              </w:rPr>
            </w:pPr>
          </w:p>
          <w:p w14:paraId="49DEBC0C" w14:textId="77777777" w:rsidR="0057647F" w:rsidRPr="00FD395A" w:rsidRDefault="0057647F" w:rsidP="0057647F">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28 days:</w:t>
            </w:r>
          </w:p>
          <w:p w14:paraId="00E0E76A" w14:textId="77777777" w:rsidR="0057647F" w:rsidRPr="00394E43" w:rsidRDefault="0057647F" w:rsidP="0057647F">
            <w:pPr>
              <w:rPr>
                <w:color w:val="000000"/>
                <w:sz w:val="16"/>
                <w:szCs w:val="16"/>
                <w:vertAlign w:val="superscript"/>
                <w:lang w:val="en-US"/>
              </w:rPr>
            </w:pPr>
            <w:r w:rsidRPr="00394E43">
              <w:rPr>
                <w:i/>
                <w:color w:val="000000"/>
                <w:sz w:val="16"/>
                <w:szCs w:val="16"/>
                <w:lang w:val="en-US"/>
              </w:rPr>
              <w:t>E. coli</w:t>
            </w:r>
            <w:r w:rsidRPr="00394E43">
              <w:rPr>
                <w:color w:val="000000"/>
                <w:sz w:val="16"/>
                <w:szCs w:val="16"/>
                <w:lang w:val="en-US"/>
              </w:rPr>
              <w:t>:</w:t>
            </w:r>
            <w:r w:rsidRPr="00394E43">
              <w:rPr>
                <w:i/>
                <w:color w:val="000000"/>
                <w:sz w:val="16"/>
                <w:szCs w:val="16"/>
                <w:lang w:val="en-US"/>
              </w:rPr>
              <w:t xml:space="preserve"> </w:t>
            </w:r>
            <w:r w:rsidRPr="00394E43">
              <w:rPr>
                <w:color w:val="000000"/>
                <w:sz w:val="16"/>
                <w:szCs w:val="16"/>
                <w:lang w:val="en-US"/>
              </w:rPr>
              <w:t>1%</w:t>
            </w:r>
          </w:p>
          <w:p w14:paraId="4F1A72D2" w14:textId="77777777" w:rsidR="0057647F" w:rsidRPr="00394E43" w:rsidRDefault="0057647F" w:rsidP="0057647F">
            <w:pPr>
              <w:rPr>
                <w:color w:val="000000"/>
                <w:sz w:val="16"/>
                <w:szCs w:val="16"/>
                <w:vertAlign w:val="superscript"/>
                <w:lang w:val="en-US"/>
              </w:rPr>
            </w:pPr>
            <w:r w:rsidRPr="00394E43">
              <w:rPr>
                <w:i/>
                <w:color w:val="000000"/>
                <w:sz w:val="16"/>
                <w:szCs w:val="16"/>
                <w:lang w:val="en-US"/>
              </w:rPr>
              <w:t>S. aureus</w:t>
            </w:r>
            <w:r w:rsidRPr="00394E43">
              <w:rPr>
                <w:color w:val="000000"/>
                <w:sz w:val="16"/>
                <w:szCs w:val="16"/>
                <w:lang w:val="en-US"/>
              </w:rPr>
              <w:t>: 0.25%</w:t>
            </w:r>
          </w:p>
          <w:p w14:paraId="44B3CDAA" w14:textId="77777777" w:rsidR="0057647F" w:rsidRPr="00394E43" w:rsidRDefault="0057647F" w:rsidP="0057647F">
            <w:pPr>
              <w:rPr>
                <w:color w:val="000000"/>
                <w:sz w:val="16"/>
                <w:szCs w:val="16"/>
                <w:lang w:val="en-US"/>
              </w:rPr>
            </w:pPr>
            <w:r w:rsidRPr="00394E43">
              <w:rPr>
                <w:i/>
                <w:color w:val="000000"/>
                <w:sz w:val="16"/>
                <w:szCs w:val="16"/>
                <w:lang w:val="en-US"/>
              </w:rPr>
              <w:t>P. aeruginosa</w:t>
            </w:r>
            <w:r w:rsidRPr="00394E43">
              <w:rPr>
                <w:color w:val="000000"/>
                <w:sz w:val="16"/>
                <w:szCs w:val="16"/>
                <w:lang w:val="en-US"/>
              </w:rPr>
              <w:t>: 0.25%</w:t>
            </w:r>
          </w:p>
          <w:p w14:paraId="40E5BCDD" w14:textId="77777777" w:rsidR="0057647F" w:rsidRPr="00394E43" w:rsidRDefault="0057647F" w:rsidP="0057647F">
            <w:pPr>
              <w:rPr>
                <w:color w:val="000000"/>
                <w:sz w:val="16"/>
                <w:szCs w:val="16"/>
                <w:lang w:val="en-US"/>
              </w:rPr>
            </w:pPr>
          </w:p>
          <w:p w14:paraId="488B3669" w14:textId="77777777" w:rsidR="0057647F" w:rsidRPr="00FD395A" w:rsidRDefault="0057647F" w:rsidP="0057647F">
            <w:pPr>
              <w:rPr>
                <w:color w:val="000000"/>
                <w:sz w:val="16"/>
                <w:szCs w:val="16"/>
                <w:lang w:val="en-US"/>
              </w:rPr>
            </w:pPr>
            <w:r w:rsidRPr="00FD395A">
              <w:rPr>
                <w:color w:val="000000"/>
                <w:sz w:val="16"/>
                <w:szCs w:val="16"/>
                <w:lang w:val="en-US"/>
              </w:rPr>
              <w:t xml:space="preserve">No increase at 28 days: </w:t>
            </w:r>
          </w:p>
          <w:p w14:paraId="1FB348F7" w14:textId="77777777" w:rsidR="0057647F" w:rsidRPr="00FD395A" w:rsidRDefault="0057647F" w:rsidP="0057647F">
            <w:pPr>
              <w:rPr>
                <w:color w:val="000000"/>
                <w:sz w:val="16"/>
                <w:szCs w:val="16"/>
                <w:lang w:val="en-US"/>
              </w:rPr>
            </w:pPr>
            <w:r w:rsidRPr="00FD395A">
              <w:rPr>
                <w:i/>
                <w:color w:val="000000"/>
                <w:sz w:val="16"/>
                <w:szCs w:val="16"/>
                <w:lang w:val="en-US"/>
              </w:rPr>
              <w:t>C. albicans</w:t>
            </w:r>
            <w:r w:rsidRPr="00FD395A">
              <w:rPr>
                <w:color w:val="000000"/>
                <w:sz w:val="16"/>
                <w:szCs w:val="16"/>
                <w:lang w:val="en-US"/>
              </w:rPr>
              <w:t>: 0.5%</w:t>
            </w:r>
          </w:p>
          <w:p w14:paraId="3C02F802" w14:textId="77777777" w:rsidR="00CF59EF" w:rsidRDefault="0057647F">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009B34F1">
              <w:rPr>
                <w:color w:val="000000"/>
                <w:sz w:val="16"/>
                <w:szCs w:val="16"/>
                <w:lang w:val="en-US"/>
              </w:rPr>
              <w:t>: 1%</w:t>
            </w:r>
          </w:p>
          <w:p w14:paraId="58F13B1E" w14:textId="77777777" w:rsidR="00237E35" w:rsidRDefault="00237E35">
            <w:pPr>
              <w:rPr>
                <w:color w:val="000000"/>
                <w:sz w:val="16"/>
                <w:szCs w:val="16"/>
                <w:lang w:val="en-US"/>
              </w:rPr>
            </w:pPr>
          </w:p>
          <w:p w14:paraId="3975D84C" w14:textId="77777777" w:rsidR="005B12BD" w:rsidRDefault="005B12BD" w:rsidP="005B12BD">
            <w:pPr>
              <w:rPr>
                <w:color w:val="000000"/>
                <w:sz w:val="16"/>
                <w:szCs w:val="16"/>
                <w:lang w:val="en-US"/>
              </w:rPr>
            </w:pPr>
            <w:r>
              <w:rPr>
                <w:color w:val="000000"/>
                <w:sz w:val="16"/>
                <w:szCs w:val="16"/>
                <w:lang w:val="en-US"/>
              </w:rPr>
              <w:t xml:space="preserve">Untreated controls (0%) at </w:t>
            </w:r>
            <w:r w:rsidR="001E63CB">
              <w:rPr>
                <w:color w:val="000000"/>
                <w:sz w:val="16"/>
                <w:szCs w:val="16"/>
                <w:lang w:val="en-US"/>
              </w:rPr>
              <w:t>28</w:t>
            </w:r>
            <w:r>
              <w:rPr>
                <w:color w:val="000000"/>
                <w:sz w:val="16"/>
                <w:szCs w:val="16"/>
                <w:lang w:val="en-US"/>
              </w:rPr>
              <w:t xml:space="preserve"> days:</w:t>
            </w:r>
          </w:p>
          <w:p w14:paraId="78F7B2BF" w14:textId="77777777" w:rsidR="00D03356" w:rsidRPr="00FD395A" w:rsidRDefault="00D03356" w:rsidP="00D03356">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 - TNTC</w:t>
            </w:r>
          </w:p>
          <w:p w14:paraId="5191531B" w14:textId="77777777" w:rsidR="00D03356" w:rsidRPr="00FD395A" w:rsidRDefault="00D03356" w:rsidP="00D03356">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 - TNTC</w:t>
            </w:r>
          </w:p>
          <w:p w14:paraId="4F2E0741" w14:textId="77777777" w:rsidR="00D03356" w:rsidRPr="00FD395A" w:rsidRDefault="00D03356" w:rsidP="00D03356">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 - TNTC</w:t>
            </w:r>
          </w:p>
          <w:p w14:paraId="33D9174A" w14:textId="77777777" w:rsidR="005B12BD" w:rsidRPr="00FD395A" w:rsidRDefault="005B12BD" w:rsidP="005B12BD">
            <w:pPr>
              <w:rPr>
                <w:color w:val="000000"/>
                <w:sz w:val="16"/>
                <w:szCs w:val="16"/>
                <w:lang w:val="en-US"/>
              </w:rPr>
            </w:pPr>
            <w:r w:rsidRPr="005B12BD">
              <w:rPr>
                <w:i/>
                <w:color w:val="000000"/>
                <w:sz w:val="16"/>
                <w:szCs w:val="16"/>
                <w:lang w:val="en-US"/>
              </w:rPr>
              <w:t xml:space="preserve">C. </w:t>
            </w:r>
            <w:proofErr w:type="spellStart"/>
            <w:r w:rsidRPr="005B12BD">
              <w:rPr>
                <w:i/>
                <w:color w:val="000000"/>
                <w:sz w:val="16"/>
                <w:szCs w:val="16"/>
                <w:lang w:val="en-US"/>
              </w:rPr>
              <w:t>albicans</w:t>
            </w:r>
            <w:r>
              <w:rPr>
                <w:color w:val="000000"/>
                <w:sz w:val="16"/>
                <w:szCs w:val="16"/>
                <w:lang w:val="en-US"/>
              </w:rPr>
              <w:t>:increase</w:t>
            </w:r>
            <w:proofErr w:type="spellEnd"/>
            <w:r>
              <w:rPr>
                <w:color w:val="000000"/>
                <w:sz w:val="16"/>
                <w:szCs w:val="16"/>
                <w:lang w:val="en-US"/>
              </w:rPr>
              <w:t xml:space="preserve"> - TNTC</w:t>
            </w:r>
          </w:p>
          <w:p w14:paraId="2A5F4115" w14:textId="77777777" w:rsidR="00237E35" w:rsidRPr="009B34F1" w:rsidRDefault="005B12BD" w:rsidP="005B12BD">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increase - TNTC</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23509C3F" w14:textId="77777777" w:rsidR="00CF59EF" w:rsidRPr="00FD395A" w:rsidRDefault="000B5D37">
            <w:pPr>
              <w:rPr>
                <w:color w:val="000000"/>
                <w:sz w:val="16"/>
                <w:szCs w:val="16"/>
              </w:rPr>
            </w:pPr>
            <w:r w:rsidRPr="00FD395A">
              <w:rPr>
                <w:color w:val="000000"/>
                <w:sz w:val="16"/>
                <w:szCs w:val="16"/>
              </w:rPr>
              <w:t>2.2.5.5-1</w:t>
            </w:r>
          </w:p>
          <w:p w14:paraId="6686D9A7" w14:textId="77777777" w:rsidR="00CF59EF" w:rsidRPr="00FD395A" w:rsidRDefault="000B5D37">
            <w:pPr>
              <w:rPr>
                <w:color w:val="000000"/>
                <w:sz w:val="16"/>
                <w:szCs w:val="16"/>
              </w:rPr>
            </w:pPr>
            <w:r w:rsidRPr="00FD395A">
              <w:rPr>
                <w:color w:val="000000"/>
                <w:sz w:val="16"/>
                <w:szCs w:val="16"/>
                <w:lang w:val="nl-NL"/>
              </w:rPr>
              <w:t>(</w:t>
            </w:r>
            <w:proofErr w:type="spellStart"/>
            <w:r w:rsidR="002F4C58" w:rsidRPr="002F4C58">
              <w:rPr>
                <w:rFonts w:eastAsia="Calibri"/>
                <w:highlight w:val="black"/>
              </w:rPr>
              <w:t>xxxxx</w:t>
            </w:r>
            <w:proofErr w:type="spellEnd"/>
            <w:r w:rsidRPr="00FD395A">
              <w:rPr>
                <w:color w:val="000000"/>
                <w:sz w:val="16"/>
                <w:szCs w:val="16"/>
                <w:lang w:val="nl-NL"/>
              </w:rPr>
              <w:t>)</w:t>
            </w:r>
          </w:p>
        </w:tc>
      </w:tr>
      <w:tr w:rsidR="00CF59EF" w:rsidRPr="00FD395A" w14:paraId="67825E3F" w14:textId="77777777"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0E011957" w14:textId="77777777" w:rsidR="00CF59EF" w:rsidRPr="00FD395A" w:rsidRDefault="000B5D37">
            <w:pPr>
              <w:rPr>
                <w:color w:val="000000"/>
                <w:sz w:val="16"/>
                <w:szCs w:val="16"/>
              </w:rPr>
            </w:pPr>
            <w:r w:rsidRPr="00FD395A">
              <w:rPr>
                <w:color w:val="000000"/>
                <w:sz w:val="16"/>
                <w:szCs w:val="16"/>
              </w:rPr>
              <w:lastRenderedPageBreak/>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B35CE8F" w14:textId="77777777"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A422761" w14:textId="77777777" w:rsidR="00CF59EF" w:rsidRPr="00FD395A" w:rsidRDefault="000B5D37">
            <w:pPr>
              <w:rPr>
                <w:color w:val="000000"/>
                <w:sz w:val="16"/>
                <w:szCs w:val="16"/>
              </w:rPr>
            </w:pPr>
            <w:r w:rsidRPr="00FD395A">
              <w:rPr>
                <w:color w:val="000000"/>
                <w:sz w:val="16"/>
                <w:szCs w:val="16"/>
              </w:rPr>
              <w:t>Sodium benzoate at 0.5%, 0.65% and 1.0%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6ED8F81" w14:textId="77777777" w:rsidR="00CF59EF" w:rsidRPr="00FD395A" w:rsidRDefault="000B5D37">
            <w:pPr>
              <w:rPr>
                <w:i/>
                <w:color w:val="000000"/>
                <w:sz w:val="16"/>
                <w:szCs w:val="16"/>
              </w:rPr>
            </w:pPr>
            <w:r w:rsidRPr="00FD395A">
              <w:rPr>
                <w:i/>
                <w:color w:val="000000"/>
                <w:sz w:val="16"/>
                <w:szCs w:val="16"/>
              </w:rPr>
              <w:t>Pool 1: Gram-negative bacteria (non-fermenters): environmental isolates</w:t>
            </w:r>
          </w:p>
          <w:p w14:paraId="32A7047B" w14:textId="77777777" w:rsidR="00CF59EF" w:rsidRPr="00FD395A" w:rsidRDefault="00CF59EF">
            <w:pPr>
              <w:rPr>
                <w:i/>
                <w:color w:val="000000"/>
                <w:sz w:val="16"/>
                <w:szCs w:val="16"/>
              </w:rPr>
            </w:pPr>
          </w:p>
          <w:p w14:paraId="4C63BA80" w14:textId="77777777" w:rsidR="00CF59EF" w:rsidRPr="00FD395A" w:rsidRDefault="000B5D37">
            <w:pPr>
              <w:rPr>
                <w:i/>
                <w:color w:val="000000"/>
                <w:sz w:val="16"/>
                <w:szCs w:val="16"/>
              </w:rPr>
            </w:pPr>
            <w:r w:rsidRPr="00FD395A">
              <w:rPr>
                <w:i/>
                <w:color w:val="000000"/>
                <w:sz w:val="16"/>
                <w:szCs w:val="16"/>
              </w:rPr>
              <w:t>Pool 2: Gram-negative bacteria (fermenters): environmental isolates</w:t>
            </w:r>
          </w:p>
          <w:p w14:paraId="28F695D8" w14:textId="77777777" w:rsidR="00CF59EF" w:rsidRPr="00FD395A" w:rsidRDefault="00CF59EF">
            <w:pPr>
              <w:rPr>
                <w:i/>
                <w:color w:val="000000"/>
                <w:sz w:val="16"/>
                <w:szCs w:val="16"/>
              </w:rPr>
            </w:pPr>
          </w:p>
          <w:p w14:paraId="16DF550A" w14:textId="77777777" w:rsidR="00CF59EF" w:rsidRPr="00FD395A" w:rsidRDefault="000B5D37">
            <w:pPr>
              <w:rPr>
                <w:i/>
                <w:color w:val="000000"/>
                <w:sz w:val="16"/>
                <w:szCs w:val="16"/>
              </w:rPr>
            </w:pPr>
            <w:r w:rsidRPr="00FD395A">
              <w:rPr>
                <w:i/>
                <w:color w:val="000000"/>
                <w:sz w:val="16"/>
                <w:szCs w:val="16"/>
              </w:rPr>
              <w:t>Pool 3: Gram-positive bacteria: Staphylococcus aureus (ATCC 6538)</w:t>
            </w:r>
          </w:p>
          <w:p w14:paraId="10CE24BF" w14:textId="77777777" w:rsidR="00CF59EF" w:rsidRPr="00FD395A" w:rsidRDefault="00CF59EF">
            <w:pPr>
              <w:rPr>
                <w:i/>
                <w:color w:val="000000"/>
                <w:sz w:val="16"/>
                <w:szCs w:val="16"/>
              </w:rPr>
            </w:pPr>
          </w:p>
          <w:p w14:paraId="4F646B22" w14:textId="77777777" w:rsidR="00CF59EF" w:rsidRPr="00FD395A" w:rsidRDefault="000B5D37">
            <w:pPr>
              <w:rPr>
                <w:i/>
                <w:color w:val="000000"/>
                <w:sz w:val="16"/>
                <w:szCs w:val="16"/>
              </w:rPr>
            </w:pPr>
            <w:r w:rsidRPr="00FD395A">
              <w:rPr>
                <w:i/>
                <w:color w:val="000000"/>
                <w:sz w:val="16"/>
                <w:szCs w:val="16"/>
              </w:rPr>
              <w:t xml:space="preserve">Pool 4: Yeast: C. </w:t>
            </w:r>
            <w:proofErr w:type="spellStart"/>
            <w:r w:rsidRPr="00FD395A">
              <w:rPr>
                <w:i/>
                <w:color w:val="000000"/>
                <w:sz w:val="16"/>
                <w:szCs w:val="16"/>
              </w:rPr>
              <w:t>alibicans</w:t>
            </w:r>
            <w:proofErr w:type="spellEnd"/>
            <w:r w:rsidRPr="00FD395A">
              <w:rPr>
                <w:i/>
                <w:color w:val="000000"/>
                <w:sz w:val="16"/>
                <w:szCs w:val="16"/>
              </w:rPr>
              <w:t xml:space="preserve"> (ATCC 10231)</w:t>
            </w:r>
          </w:p>
          <w:p w14:paraId="5A6ED696" w14:textId="77777777" w:rsidR="00CF59EF" w:rsidRPr="00FD395A" w:rsidRDefault="00CF59EF">
            <w:pPr>
              <w:rPr>
                <w:i/>
                <w:color w:val="000000"/>
                <w:sz w:val="16"/>
                <w:szCs w:val="16"/>
              </w:rPr>
            </w:pPr>
          </w:p>
          <w:p w14:paraId="692B0D29" w14:textId="77777777" w:rsidR="00CF59EF" w:rsidRPr="00FD395A" w:rsidRDefault="000B5D37">
            <w:pPr>
              <w:rPr>
                <w:i/>
                <w:color w:val="000000"/>
                <w:sz w:val="16"/>
                <w:szCs w:val="16"/>
              </w:rPr>
            </w:pPr>
            <w:r w:rsidRPr="00FD395A">
              <w:rPr>
                <w:i/>
                <w:color w:val="000000"/>
                <w:sz w:val="16"/>
                <w:szCs w:val="16"/>
              </w:rPr>
              <w:t xml:space="preserve">Pool 5: Mould: 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3A4C17A" w14:textId="77777777" w:rsidR="00CF59EF" w:rsidRPr="00FD395A" w:rsidRDefault="000B5D37">
            <w:pPr>
              <w:rPr>
                <w:color w:val="000000"/>
                <w:sz w:val="16"/>
                <w:szCs w:val="16"/>
              </w:rPr>
            </w:pPr>
            <w:r w:rsidRPr="00FD395A">
              <w:rPr>
                <w:color w:val="000000"/>
                <w:sz w:val="16"/>
                <w:szCs w:val="16"/>
              </w:rPr>
              <w:t xml:space="preserve">The study was performed by inoculating two hand dishwashing liquids containing different concentrations of sodium benzoate with five different pools of microorganisms into individual samples. Four repeat inoculations were performed in each sample with Pools 1, 2 &amp; 3, a single inoculation was performed with Pools 4 and 5. The number of surviving microorganisms were investigated as total viable counts (TVC) at the set time points by total viable counts (2 days after each inoculation for Pools 1, 2 &amp; 3, 2, 7, 14, 21 and 28 days post inoculations for Pools 4 &amp; 5). </w:t>
            </w:r>
          </w:p>
          <w:p w14:paraId="529F2828" w14:textId="77777777" w:rsidR="00CF59EF" w:rsidRPr="00FD395A" w:rsidRDefault="00CF59EF">
            <w:pPr>
              <w:rPr>
                <w:color w:val="000000"/>
                <w:sz w:val="16"/>
                <w:szCs w:val="16"/>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ED46145" w14:textId="77777777" w:rsidR="00CF59EF" w:rsidRDefault="000B5D37">
            <w:pPr>
              <w:rPr>
                <w:color w:val="000000"/>
                <w:sz w:val="16"/>
                <w:szCs w:val="16"/>
              </w:rPr>
            </w:pPr>
            <w:r w:rsidRPr="00FD395A">
              <w:rPr>
                <w:color w:val="000000"/>
                <w:sz w:val="16"/>
                <w:szCs w:val="16"/>
              </w:rPr>
              <w:t>Hand dishwashing liquid 1 (9.4% surfactant), pH 5.70-5.71 /0 (unpreserved control), 0.5%, 0.65% and 1.0% sodium benzoate/2 days after each inoculations for Pools 1, 2 &amp; 3, 2, 7, 14, 21 and 28 days for Pools 4 and 5</w:t>
            </w:r>
          </w:p>
          <w:p w14:paraId="74A46CA1" w14:textId="77777777" w:rsidR="00726A33" w:rsidRDefault="00726A33">
            <w:pPr>
              <w:rPr>
                <w:color w:val="000000"/>
                <w:sz w:val="16"/>
                <w:szCs w:val="16"/>
              </w:rPr>
            </w:pPr>
          </w:p>
          <w:p w14:paraId="62E85126" w14:textId="77777777" w:rsidR="00726A33" w:rsidRDefault="00726A33" w:rsidP="00726A33">
            <w:pPr>
              <w:rPr>
                <w:color w:val="000000"/>
                <w:sz w:val="16"/>
                <w:szCs w:val="16"/>
              </w:rPr>
            </w:pPr>
            <w:r>
              <w:rPr>
                <w:color w:val="000000"/>
                <w:sz w:val="16"/>
                <w:szCs w:val="16"/>
              </w:rPr>
              <w:t>Initial inoculum:</w:t>
            </w:r>
          </w:p>
          <w:p w14:paraId="057E17F8" w14:textId="77777777" w:rsidR="00726A33" w:rsidRDefault="00726A33" w:rsidP="00726A33">
            <w:pPr>
              <w:rPr>
                <w:color w:val="000000"/>
                <w:sz w:val="16"/>
                <w:szCs w:val="16"/>
              </w:rPr>
            </w:pPr>
            <w:r>
              <w:rPr>
                <w:color w:val="000000"/>
                <w:sz w:val="16"/>
                <w:szCs w:val="16"/>
              </w:rPr>
              <w:t xml:space="preserve">Bacteria: </w:t>
            </w:r>
          </w:p>
          <w:p w14:paraId="516A2D8E" w14:textId="77777777" w:rsidR="00726A33" w:rsidRDefault="00726A33" w:rsidP="00726A33">
            <w:pPr>
              <w:rPr>
                <w:color w:val="000000"/>
                <w:sz w:val="16"/>
                <w:szCs w:val="16"/>
              </w:rPr>
            </w:pPr>
            <w:r>
              <w:rPr>
                <w:color w:val="000000"/>
                <w:sz w:val="16"/>
                <w:szCs w:val="16"/>
              </w:rPr>
              <w:t>5.0x10</w:t>
            </w:r>
            <w:r>
              <w:rPr>
                <w:color w:val="000000"/>
                <w:sz w:val="16"/>
                <w:szCs w:val="16"/>
                <w:vertAlign w:val="superscript"/>
              </w:rPr>
              <w:t>6</w:t>
            </w:r>
            <w:r>
              <w:rPr>
                <w:color w:val="000000"/>
                <w:sz w:val="16"/>
                <w:szCs w:val="16"/>
              </w:rPr>
              <w:t xml:space="preserve"> CFU/ml</w:t>
            </w:r>
          </w:p>
          <w:p w14:paraId="71627DB8" w14:textId="77777777" w:rsidR="00726A33" w:rsidRDefault="00726A33" w:rsidP="00726A33">
            <w:pPr>
              <w:rPr>
                <w:color w:val="000000"/>
                <w:sz w:val="16"/>
                <w:szCs w:val="16"/>
              </w:rPr>
            </w:pPr>
          </w:p>
          <w:p w14:paraId="6A7DF394" w14:textId="77777777" w:rsidR="00726A33" w:rsidRDefault="00726A33" w:rsidP="00726A33">
            <w:pPr>
              <w:rPr>
                <w:color w:val="000000"/>
                <w:sz w:val="16"/>
                <w:szCs w:val="16"/>
              </w:rPr>
            </w:pPr>
            <w:r>
              <w:rPr>
                <w:color w:val="000000"/>
                <w:sz w:val="16"/>
                <w:szCs w:val="16"/>
              </w:rPr>
              <w:t xml:space="preserve">Yeast &amp; fungi: </w:t>
            </w:r>
          </w:p>
          <w:p w14:paraId="7CF658CB" w14:textId="77777777" w:rsidR="00726A33" w:rsidRDefault="00726A33" w:rsidP="00726A33">
            <w:pPr>
              <w:rPr>
                <w:color w:val="000000"/>
                <w:sz w:val="16"/>
                <w:szCs w:val="16"/>
              </w:rPr>
            </w:pPr>
            <w:r>
              <w:rPr>
                <w:color w:val="000000"/>
                <w:sz w:val="16"/>
                <w:szCs w:val="16"/>
              </w:rPr>
              <w:t>5.0x10</w:t>
            </w:r>
            <w:r>
              <w:rPr>
                <w:color w:val="000000"/>
                <w:sz w:val="16"/>
                <w:szCs w:val="16"/>
                <w:vertAlign w:val="superscript"/>
              </w:rPr>
              <w:t>5</w:t>
            </w:r>
            <w:r>
              <w:rPr>
                <w:color w:val="000000"/>
                <w:sz w:val="16"/>
                <w:szCs w:val="16"/>
              </w:rPr>
              <w:t xml:space="preserve"> CFU/ml</w:t>
            </w:r>
          </w:p>
          <w:p w14:paraId="11B95065" w14:textId="77777777" w:rsidR="00726A33" w:rsidRDefault="00726A33" w:rsidP="00726A33">
            <w:pPr>
              <w:rPr>
                <w:color w:val="000000"/>
                <w:sz w:val="16"/>
                <w:szCs w:val="16"/>
              </w:rPr>
            </w:pPr>
          </w:p>
          <w:p w14:paraId="0D4DF4DB" w14:textId="77777777" w:rsidR="00726A33" w:rsidRPr="00FD395A" w:rsidRDefault="00726A33" w:rsidP="00726A33">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2B737F3" w14:textId="77777777" w:rsidR="00FF0726" w:rsidRPr="00FD395A" w:rsidRDefault="00FF0726" w:rsidP="00FF0726">
            <w:pPr>
              <w:rPr>
                <w:color w:val="000000"/>
                <w:sz w:val="16"/>
                <w:szCs w:val="16"/>
              </w:rPr>
            </w:pPr>
            <w:r w:rsidRPr="00FD395A">
              <w:rPr>
                <w:color w:val="000000"/>
                <w:sz w:val="16"/>
                <w:szCs w:val="16"/>
              </w:rPr>
              <w:t>Number of viable microorganisms for untreated controls, pH 5.86 (CFU/mL) 2 days after each inoculation (log reduction):</w:t>
            </w:r>
          </w:p>
          <w:p w14:paraId="49EA1635" w14:textId="77777777" w:rsidR="00FF0726" w:rsidRPr="00FD395A" w:rsidRDefault="00FF0726" w:rsidP="00FF0726">
            <w:pPr>
              <w:rPr>
                <w:color w:val="000000"/>
                <w:sz w:val="16"/>
                <w:szCs w:val="16"/>
              </w:rPr>
            </w:pPr>
          </w:p>
          <w:p w14:paraId="3462BA30" w14:textId="77777777" w:rsidR="00FF0726" w:rsidRPr="00FD395A" w:rsidRDefault="00FF0726" w:rsidP="00FF0726">
            <w:pPr>
              <w:rPr>
                <w:color w:val="000000"/>
                <w:sz w:val="16"/>
                <w:szCs w:val="16"/>
              </w:rPr>
            </w:pPr>
            <w:r w:rsidRPr="00FD395A">
              <w:rPr>
                <w:color w:val="000000"/>
                <w:sz w:val="16"/>
                <w:szCs w:val="16"/>
              </w:rPr>
              <w:t xml:space="preserve">Pool 1: &gt; 30000 (&lt;2) </w:t>
            </w:r>
          </w:p>
          <w:p w14:paraId="4A8D8021" w14:textId="77777777" w:rsidR="00FF0726" w:rsidRPr="00FD395A" w:rsidRDefault="00FF0726" w:rsidP="00FF0726">
            <w:pPr>
              <w:rPr>
                <w:color w:val="000000"/>
                <w:sz w:val="16"/>
                <w:szCs w:val="16"/>
              </w:rPr>
            </w:pPr>
            <w:r w:rsidRPr="00FD395A">
              <w:rPr>
                <w:color w:val="000000"/>
                <w:sz w:val="16"/>
                <w:szCs w:val="16"/>
              </w:rPr>
              <w:t>Pool 2: &gt; 30000 (&lt;2)</w:t>
            </w:r>
          </w:p>
          <w:p w14:paraId="317950C6" w14:textId="77777777" w:rsidR="00FF0726" w:rsidRPr="00FD395A" w:rsidRDefault="00FF0726" w:rsidP="00FF0726">
            <w:pPr>
              <w:rPr>
                <w:color w:val="000000"/>
                <w:sz w:val="16"/>
                <w:szCs w:val="16"/>
              </w:rPr>
            </w:pPr>
            <w:r w:rsidRPr="00FD395A">
              <w:rPr>
                <w:color w:val="000000"/>
                <w:sz w:val="16"/>
                <w:szCs w:val="16"/>
              </w:rPr>
              <w:t>S. aureus: &lt; 50 (&gt;4)</w:t>
            </w:r>
          </w:p>
          <w:p w14:paraId="161C8D28" w14:textId="77777777" w:rsidR="00FF0726" w:rsidRPr="00FD395A" w:rsidRDefault="00FF0726" w:rsidP="00FF0726">
            <w:pPr>
              <w:rPr>
                <w:color w:val="000000"/>
                <w:sz w:val="16"/>
                <w:szCs w:val="16"/>
              </w:rPr>
            </w:pPr>
          </w:p>
          <w:p w14:paraId="605FE71C" w14:textId="77777777" w:rsidR="00FF0726" w:rsidRPr="00FD395A" w:rsidRDefault="00FF0726" w:rsidP="00FF0726">
            <w:pPr>
              <w:rPr>
                <w:color w:val="000000"/>
                <w:sz w:val="16"/>
                <w:szCs w:val="16"/>
              </w:rPr>
            </w:pPr>
            <w:r w:rsidRPr="00FD395A">
              <w:rPr>
                <w:color w:val="000000"/>
                <w:sz w:val="16"/>
                <w:szCs w:val="16"/>
              </w:rPr>
              <w:t>Number of viable microorganisms for untreated controls, pH 5.68 (CFU/mL) at 7 and 28 days after inoculation (log reduction):</w:t>
            </w:r>
          </w:p>
          <w:p w14:paraId="5A32041F" w14:textId="77777777" w:rsidR="00FF0726" w:rsidRPr="00FD395A" w:rsidRDefault="00FF0726" w:rsidP="00FF0726">
            <w:pPr>
              <w:rPr>
                <w:color w:val="000000"/>
                <w:sz w:val="16"/>
                <w:szCs w:val="16"/>
              </w:rPr>
            </w:pPr>
          </w:p>
          <w:p w14:paraId="4BD50921" w14:textId="77777777" w:rsidR="00FF0726" w:rsidRPr="00FD395A" w:rsidRDefault="00FF0726" w:rsidP="00FF0726">
            <w:pPr>
              <w:rPr>
                <w:color w:val="000000"/>
                <w:sz w:val="16"/>
                <w:szCs w:val="16"/>
              </w:rPr>
            </w:pPr>
            <w:r w:rsidRPr="00FD395A">
              <w:rPr>
                <w:color w:val="000000"/>
                <w:sz w:val="16"/>
                <w:szCs w:val="16"/>
              </w:rPr>
              <w:t>C. albicans: &lt; 100 (&gt;3)</w:t>
            </w:r>
          </w:p>
          <w:p w14:paraId="46CC1818" w14:textId="77777777" w:rsidR="00FF0726" w:rsidRPr="00FD395A" w:rsidRDefault="00FF0726" w:rsidP="00FF0726">
            <w:pPr>
              <w:pStyle w:val="CommentText"/>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30000 (&lt;1)</w:t>
            </w:r>
          </w:p>
          <w:p w14:paraId="1EC53A25" w14:textId="77777777" w:rsidR="00FF0726" w:rsidRPr="00FD395A" w:rsidRDefault="00FF0726" w:rsidP="00FF0726">
            <w:pPr>
              <w:pStyle w:val="CommentText"/>
              <w:rPr>
                <w:color w:val="000000"/>
                <w:sz w:val="16"/>
                <w:szCs w:val="16"/>
              </w:rPr>
            </w:pPr>
          </w:p>
          <w:p w14:paraId="0F5466B9" w14:textId="77777777" w:rsidR="00FF0726" w:rsidRPr="00FD395A" w:rsidRDefault="00FF0726" w:rsidP="00FF0726">
            <w:pPr>
              <w:pStyle w:val="CommentText"/>
              <w:rPr>
                <w:color w:val="000000"/>
                <w:sz w:val="16"/>
                <w:szCs w:val="16"/>
              </w:rPr>
            </w:pPr>
            <w:r w:rsidRPr="00FD395A">
              <w:rPr>
                <w:color w:val="000000"/>
                <w:sz w:val="16"/>
                <w:szCs w:val="16"/>
              </w:rPr>
              <w:t>Fungi and yeasts</w:t>
            </w:r>
          </w:p>
          <w:p w14:paraId="33F59369" w14:textId="77777777" w:rsidR="00FF0726" w:rsidRPr="00FD395A" w:rsidRDefault="00FF0726" w:rsidP="00FF0726">
            <w:pPr>
              <w:pStyle w:val="CommentText"/>
              <w:rPr>
                <w:color w:val="000000"/>
                <w:sz w:val="16"/>
                <w:szCs w:val="16"/>
              </w:rPr>
            </w:pPr>
            <w:r w:rsidRPr="00FD395A">
              <w:rPr>
                <w:color w:val="000000"/>
                <w:sz w:val="16"/>
                <w:szCs w:val="16"/>
              </w:rPr>
              <w:t xml:space="preserve"> 0.5% </w:t>
            </w:r>
          </w:p>
          <w:p w14:paraId="6F24F291" w14:textId="77777777" w:rsidR="00FF0726" w:rsidRPr="00FD395A" w:rsidRDefault="00FF0726" w:rsidP="00FF0726">
            <w:pPr>
              <w:pStyle w:val="CommentText"/>
              <w:rPr>
                <w:color w:val="000000"/>
                <w:sz w:val="16"/>
                <w:szCs w:val="16"/>
              </w:rPr>
            </w:pPr>
            <w:r w:rsidRPr="00FD395A">
              <w:rPr>
                <w:color w:val="000000"/>
                <w:sz w:val="16"/>
                <w:szCs w:val="16"/>
              </w:rPr>
              <w:t>After 7 and 28 days</w:t>
            </w:r>
          </w:p>
          <w:p w14:paraId="777A9331" w14:textId="77777777" w:rsidR="00FF0726" w:rsidRPr="00FD395A" w:rsidRDefault="00FF0726" w:rsidP="00FF0726">
            <w:pPr>
              <w:pStyle w:val="CommentText"/>
              <w:rPr>
                <w:color w:val="000000"/>
                <w:sz w:val="16"/>
                <w:szCs w:val="16"/>
              </w:rPr>
            </w:pPr>
          </w:p>
          <w:p w14:paraId="346DBC02" w14:textId="77777777" w:rsidR="00FF0726" w:rsidRPr="00FD395A" w:rsidRDefault="00FF0726" w:rsidP="00FF0726">
            <w:pPr>
              <w:pStyle w:val="CommentText"/>
              <w:rPr>
                <w:color w:val="000000"/>
                <w:sz w:val="16"/>
                <w:szCs w:val="16"/>
              </w:rPr>
            </w:pPr>
            <w:r w:rsidRPr="00FD395A">
              <w:rPr>
                <w:color w:val="000000"/>
                <w:sz w:val="16"/>
                <w:szCs w:val="16"/>
              </w:rPr>
              <w:t>Log R</w:t>
            </w:r>
          </w:p>
          <w:p w14:paraId="70D26048" w14:textId="77777777" w:rsidR="00FF0726" w:rsidRPr="00FD395A" w:rsidRDefault="00FF0726" w:rsidP="00FF0726">
            <w:pPr>
              <w:pStyle w:val="CommentText"/>
              <w:rPr>
                <w:color w:val="000000"/>
                <w:sz w:val="16"/>
                <w:szCs w:val="16"/>
              </w:rPr>
            </w:pPr>
            <w:r w:rsidRPr="00FD395A">
              <w:rPr>
                <w:color w:val="000000"/>
                <w:sz w:val="16"/>
                <w:szCs w:val="16"/>
              </w:rPr>
              <w:t>C. albicans: &gt; 3</w:t>
            </w:r>
          </w:p>
          <w:p w14:paraId="51C495E7" w14:textId="77777777" w:rsidR="00FF0726" w:rsidRPr="00FD395A" w:rsidRDefault="00FF0726" w:rsidP="00FF0726">
            <w:pPr>
              <w:pStyle w:val="CommentText"/>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w:t>
            </w:r>
          </w:p>
          <w:p w14:paraId="7DB7A08C" w14:textId="77777777" w:rsidR="00FF0726" w:rsidRPr="00FD395A" w:rsidRDefault="00FF0726" w:rsidP="00FF0726">
            <w:pPr>
              <w:pStyle w:val="CommentText"/>
              <w:rPr>
                <w:color w:val="000000"/>
                <w:sz w:val="16"/>
                <w:szCs w:val="16"/>
              </w:rPr>
            </w:pPr>
          </w:p>
          <w:p w14:paraId="08970EB4" w14:textId="77777777" w:rsidR="00FF0726" w:rsidRPr="00FD395A" w:rsidRDefault="00FF0726" w:rsidP="00FF0726">
            <w:pPr>
              <w:pStyle w:val="CommentText"/>
              <w:rPr>
                <w:color w:val="000000"/>
                <w:sz w:val="16"/>
                <w:szCs w:val="16"/>
              </w:rPr>
            </w:pPr>
            <w:r w:rsidRPr="00FD395A">
              <w:rPr>
                <w:color w:val="000000"/>
                <w:sz w:val="16"/>
                <w:szCs w:val="16"/>
              </w:rPr>
              <w:t>Bacteria:</w:t>
            </w:r>
          </w:p>
          <w:p w14:paraId="261BBBFA" w14:textId="77777777" w:rsidR="00FF0726" w:rsidRPr="00FD395A" w:rsidRDefault="00FF0726" w:rsidP="00FF0726">
            <w:pPr>
              <w:pStyle w:val="CommentText"/>
              <w:rPr>
                <w:color w:val="000000"/>
                <w:sz w:val="16"/>
                <w:szCs w:val="16"/>
              </w:rPr>
            </w:pPr>
            <w:r w:rsidRPr="00FD395A">
              <w:rPr>
                <w:color w:val="000000"/>
                <w:sz w:val="16"/>
                <w:szCs w:val="16"/>
              </w:rPr>
              <w:t>1%</w:t>
            </w:r>
          </w:p>
          <w:p w14:paraId="11071C39" w14:textId="77777777" w:rsidR="00FF0726" w:rsidRPr="00FD395A" w:rsidRDefault="00FF0726" w:rsidP="00FF0726">
            <w:pPr>
              <w:pStyle w:val="CommentText"/>
              <w:rPr>
                <w:color w:val="000000"/>
                <w:sz w:val="16"/>
                <w:szCs w:val="16"/>
              </w:rPr>
            </w:pPr>
            <w:r w:rsidRPr="00FD395A">
              <w:rPr>
                <w:color w:val="000000"/>
                <w:sz w:val="16"/>
                <w:szCs w:val="16"/>
              </w:rPr>
              <w:t>2 days after each inoculation</w:t>
            </w:r>
          </w:p>
          <w:p w14:paraId="58D2653C" w14:textId="77777777" w:rsidR="00FF0726" w:rsidRPr="00FD395A" w:rsidRDefault="00FF0726" w:rsidP="00FF0726">
            <w:pPr>
              <w:pStyle w:val="CommentText"/>
              <w:rPr>
                <w:color w:val="000000"/>
                <w:sz w:val="16"/>
                <w:szCs w:val="16"/>
              </w:rPr>
            </w:pPr>
          </w:p>
          <w:p w14:paraId="1A82A749" w14:textId="77777777" w:rsidR="00FF0726" w:rsidRPr="00FD395A" w:rsidRDefault="00FF0726" w:rsidP="00FF0726">
            <w:pPr>
              <w:pStyle w:val="CommentText"/>
              <w:rPr>
                <w:color w:val="000000"/>
                <w:sz w:val="16"/>
                <w:szCs w:val="16"/>
              </w:rPr>
            </w:pPr>
            <w:r w:rsidRPr="00FD395A">
              <w:rPr>
                <w:color w:val="000000"/>
                <w:sz w:val="16"/>
                <w:szCs w:val="16"/>
              </w:rPr>
              <w:t>Log R</w:t>
            </w:r>
          </w:p>
          <w:p w14:paraId="215851FF" w14:textId="77777777" w:rsidR="00FF0726" w:rsidRPr="00FD395A" w:rsidRDefault="00FF0726" w:rsidP="00FF0726">
            <w:pPr>
              <w:pStyle w:val="CommentText"/>
              <w:rPr>
                <w:color w:val="000000"/>
                <w:sz w:val="16"/>
                <w:szCs w:val="16"/>
              </w:rPr>
            </w:pPr>
            <w:r w:rsidRPr="00FD395A">
              <w:rPr>
                <w:color w:val="000000"/>
                <w:sz w:val="16"/>
                <w:szCs w:val="16"/>
              </w:rPr>
              <w:t>Pool 1: &gt;4</w:t>
            </w:r>
          </w:p>
          <w:p w14:paraId="544E5922" w14:textId="77777777" w:rsidR="00FF0726" w:rsidRPr="00FD395A" w:rsidRDefault="00FF0726" w:rsidP="00FF0726">
            <w:pPr>
              <w:pStyle w:val="CommentText"/>
              <w:rPr>
                <w:color w:val="000000"/>
                <w:sz w:val="16"/>
                <w:szCs w:val="16"/>
              </w:rPr>
            </w:pPr>
            <w:r w:rsidRPr="00FD395A">
              <w:rPr>
                <w:color w:val="000000"/>
                <w:sz w:val="16"/>
                <w:szCs w:val="16"/>
              </w:rPr>
              <w:t>Pool 2: &gt; 4</w:t>
            </w:r>
          </w:p>
          <w:p w14:paraId="5CBE61B7" w14:textId="77777777" w:rsidR="00FF0726" w:rsidRPr="00FD395A" w:rsidRDefault="00FF0726" w:rsidP="00FF0726">
            <w:pPr>
              <w:pStyle w:val="CommentText"/>
              <w:rPr>
                <w:color w:val="000000"/>
                <w:sz w:val="16"/>
                <w:szCs w:val="16"/>
              </w:rPr>
            </w:pPr>
            <w:r w:rsidRPr="00FD395A">
              <w:rPr>
                <w:color w:val="000000"/>
                <w:sz w:val="16"/>
                <w:szCs w:val="16"/>
              </w:rPr>
              <w:t>S. aureus: &gt; 4</w:t>
            </w:r>
          </w:p>
          <w:p w14:paraId="0EB786B2" w14:textId="77777777" w:rsidR="00CF59EF" w:rsidRPr="00FD395A" w:rsidRDefault="00CF59EF">
            <w:pPr>
              <w:rPr>
                <w:color w:val="000000"/>
                <w:sz w:val="16"/>
                <w:szCs w:val="16"/>
              </w:rPr>
            </w:pPr>
          </w:p>
          <w:p w14:paraId="31B70CA4" w14:textId="77777777" w:rsidR="00CF59EF" w:rsidRPr="0064153C" w:rsidRDefault="0064153C">
            <w:pPr>
              <w:rPr>
                <w:b/>
                <w:color w:val="000000"/>
                <w:sz w:val="16"/>
                <w:szCs w:val="16"/>
              </w:rPr>
            </w:pPr>
            <w:r w:rsidRPr="0064153C">
              <w:rPr>
                <w:b/>
                <w:color w:val="000000"/>
                <w:sz w:val="16"/>
                <w:szCs w:val="16"/>
              </w:rPr>
              <w:t>Study is not valid</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566CCF56" w14:textId="77777777" w:rsidR="00CF59EF" w:rsidRPr="00FD395A" w:rsidRDefault="000B5D37">
            <w:pPr>
              <w:rPr>
                <w:color w:val="000000"/>
                <w:sz w:val="16"/>
                <w:szCs w:val="16"/>
              </w:rPr>
            </w:pPr>
            <w:r w:rsidRPr="00FD395A">
              <w:rPr>
                <w:color w:val="000000"/>
                <w:sz w:val="16"/>
                <w:szCs w:val="16"/>
              </w:rPr>
              <w:t>2.2.5.5-5</w:t>
            </w:r>
          </w:p>
          <w:p w14:paraId="275AF554" w14:textId="77777777" w:rsidR="00CF59EF" w:rsidRPr="00FD395A" w:rsidRDefault="000B5D37">
            <w:pPr>
              <w:rPr>
                <w:color w:val="000000"/>
                <w:sz w:val="16"/>
                <w:szCs w:val="16"/>
              </w:rPr>
            </w:pPr>
            <w:r w:rsidRPr="00FD395A">
              <w:rPr>
                <w:color w:val="000000"/>
                <w:sz w:val="16"/>
                <w:szCs w:val="16"/>
              </w:rPr>
              <w:t>(</w:t>
            </w:r>
            <w:proofErr w:type="spellStart"/>
            <w:r w:rsidR="002F4C58" w:rsidRPr="002F4C58">
              <w:rPr>
                <w:rFonts w:eastAsia="Calibri"/>
                <w:highlight w:val="black"/>
              </w:rPr>
              <w:t>xxxxx</w:t>
            </w:r>
            <w:proofErr w:type="spellEnd"/>
            <w:r w:rsidRPr="00FD395A">
              <w:rPr>
                <w:color w:val="000000"/>
                <w:sz w:val="16"/>
                <w:szCs w:val="16"/>
              </w:rPr>
              <w:t>)</w:t>
            </w:r>
          </w:p>
        </w:tc>
      </w:tr>
      <w:tr w:rsidR="00CF59EF" w:rsidRPr="00FD395A" w14:paraId="399A4F7B" w14:textId="77777777"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0F6682B6" w14:textId="77777777"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AB14234" w14:textId="77777777"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45A6AC" w14:textId="77777777" w:rsidR="00CF59EF" w:rsidRPr="00FD395A" w:rsidRDefault="000B5D37">
            <w:pPr>
              <w:rPr>
                <w:color w:val="000000"/>
                <w:sz w:val="16"/>
                <w:szCs w:val="16"/>
              </w:rPr>
            </w:pPr>
            <w:r w:rsidRPr="00FD395A">
              <w:rPr>
                <w:color w:val="000000"/>
                <w:sz w:val="16"/>
                <w:szCs w:val="16"/>
              </w:rPr>
              <w:t>Sodium benzoate at 0.5%, 0.65% and 1.0%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417EFE5" w14:textId="77777777" w:rsidR="00CF59EF" w:rsidRPr="00FD395A" w:rsidRDefault="000B5D37">
            <w:pPr>
              <w:rPr>
                <w:i/>
                <w:color w:val="000000"/>
                <w:sz w:val="16"/>
                <w:szCs w:val="16"/>
              </w:rPr>
            </w:pPr>
            <w:r w:rsidRPr="00FD395A">
              <w:rPr>
                <w:i/>
                <w:color w:val="000000"/>
                <w:sz w:val="16"/>
                <w:szCs w:val="16"/>
              </w:rPr>
              <w:t>Pool 1: Gram-negative bacteria (non-fermenters): environmental isolates</w:t>
            </w:r>
          </w:p>
          <w:p w14:paraId="055B151D" w14:textId="77777777" w:rsidR="00CF59EF" w:rsidRPr="00FD395A" w:rsidRDefault="00CF59EF">
            <w:pPr>
              <w:rPr>
                <w:i/>
                <w:color w:val="000000"/>
                <w:sz w:val="16"/>
                <w:szCs w:val="16"/>
              </w:rPr>
            </w:pPr>
          </w:p>
          <w:p w14:paraId="1245A2C0" w14:textId="77777777" w:rsidR="00CF59EF" w:rsidRPr="00FD395A" w:rsidRDefault="000B5D37">
            <w:pPr>
              <w:rPr>
                <w:i/>
                <w:color w:val="000000"/>
                <w:sz w:val="16"/>
                <w:szCs w:val="16"/>
              </w:rPr>
            </w:pPr>
            <w:r w:rsidRPr="00FD395A">
              <w:rPr>
                <w:i/>
                <w:color w:val="000000"/>
                <w:sz w:val="16"/>
                <w:szCs w:val="16"/>
              </w:rPr>
              <w:t>Pool 2: Gram-negative bacteria (fermenters): environmental isolates</w:t>
            </w:r>
          </w:p>
          <w:p w14:paraId="14814F7B" w14:textId="77777777" w:rsidR="00CF59EF" w:rsidRPr="00FD395A" w:rsidRDefault="00CF59EF">
            <w:pPr>
              <w:rPr>
                <w:i/>
                <w:color w:val="000000"/>
                <w:sz w:val="16"/>
                <w:szCs w:val="16"/>
              </w:rPr>
            </w:pPr>
          </w:p>
          <w:p w14:paraId="3FD2F035" w14:textId="77777777" w:rsidR="00CF59EF" w:rsidRPr="00FD395A" w:rsidRDefault="000B5D37">
            <w:pPr>
              <w:rPr>
                <w:i/>
                <w:color w:val="000000"/>
                <w:sz w:val="16"/>
                <w:szCs w:val="16"/>
              </w:rPr>
            </w:pPr>
            <w:r w:rsidRPr="00FD395A">
              <w:rPr>
                <w:i/>
                <w:color w:val="000000"/>
                <w:sz w:val="16"/>
                <w:szCs w:val="16"/>
              </w:rPr>
              <w:t>Pool 3: Gram-positive bacteria: Staphylococcus aureus (ATCC 6538)</w:t>
            </w:r>
          </w:p>
          <w:p w14:paraId="1A5608E2" w14:textId="77777777" w:rsidR="00CF59EF" w:rsidRPr="00FD395A" w:rsidRDefault="00CF59EF">
            <w:pPr>
              <w:rPr>
                <w:i/>
                <w:color w:val="000000"/>
                <w:sz w:val="16"/>
                <w:szCs w:val="16"/>
              </w:rPr>
            </w:pPr>
          </w:p>
          <w:p w14:paraId="719F8198" w14:textId="77777777" w:rsidR="00CF59EF" w:rsidRPr="00FD395A" w:rsidRDefault="000B5D37">
            <w:pPr>
              <w:rPr>
                <w:i/>
                <w:color w:val="000000"/>
                <w:sz w:val="16"/>
                <w:szCs w:val="16"/>
              </w:rPr>
            </w:pPr>
            <w:r w:rsidRPr="00FD395A">
              <w:rPr>
                <w:i/>
                <w:color w:val="000000"/>
                <w:sz w:val="16"/>
                <w:szCs w:val="16"/>
              </w:rPr>
              <w:t xml:space="preserve">Pool 4: Yeast: C. </w:t>
            </w:r>
            <w:proofErr w:type="spellStart"/>
            <w:r w:rsidRPr="00FD395A">
              <w:rPr>
                <w:i/>
                <w:color w:val="000000"/>
                <w:sz w:val="16"/>
                <w:szCs w:val="16"/>
              </w:rPr>
              <w:t>alibicans</w:t>
            </w:r>
            <w:proofErr w:type="spellEnd"/>
            <w:r w:rsidRPr="00FD395A">
              <w:rPr>
                <w:i/>
                <w:color w:val="000000"/>
                <w:sz w:val="16"/>
                <w:szCs w:val="16"/>
              </w:rPr>
              <w:t xml:space="preserve"> (ATCC 10231)</w:t>
            </w:r>
          </w:p>
          <w:p w14:paraId="0F3B869A" w14:textId="77777777" w:rsidR="00CF59EF" w:rsidRPr="00FD395A" w:rsidRDefault="00CF59EF">
            <w:pPr>
              <w:rPr>
                <w:i/>
                <w:color w:val="000000"/>
                <w:sz w:val="16"/>
                <w:szCs w:val="16"/>
              </w:rPr>
            </w:pPr>
          </w:p>
          <w:p w14:paraId="79A78873" w14:textId="77777777" w:rsidR="00CF59EF" w:rsidRPr="00FD395A" w:rsidRDefault="000B5D37">
            <w:pPr>
              <w:rPr>
                <w:i/>
                <w:color w:val="000000"/>
                <w:sz w:val="16"/>
                <w:szCs w:val="16"/>
              </w:rPr>
            </w:pPr>
            <w:r w:rsidRPr="00FD395A">
              <w:rPr>
                <w:i/>
                <w:color w:val="000000"/>
                <w:sz w:val="16"/>
                <w:szCs w:val="16"/>
              </w:rPr>
              <w:t xml:space="preserve">Pool 5: Mould: 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2AA10F" w14:textId="77777777" w:rsidR="00CF59EF" w:rsidRPr="00FD395A" w:rsidRDefault="000B5D37">
            <w:pPr>
              <w:rPr>
                <w:color w:val="000000"/>
                <w:sz w:val="16"/>
                <w:szCs w:val="16"/>
              </w:rPr>
            </w:pPr>
            <w:r w:rsidRPr="00FD395A">
              <w:rPr>
                <w:color w:val="000000"/>
                <w:sz w:val="16"/>
                <w:szCs w:val="16"/>
              </w:rPr>
              <w:lastRenderedPageBreak/>
              <w:t xml:space="preserve">The study was performed by inoculating two hand dishwashing liquids containing different </w:t>
            </w:r>
            <w:r w:rsidRPr="00FD395A">
              <w:rPr>
                <w:color w:val="000000"/>
                <w:sz w:val="16"/>
                <w:szCs w:val="16"/>
              </w:rPr>
              <w:lastRenderedPageBreak/>
              <w:t xml:space="preserve">concentrations of sodium benzoate with five different pools of microorganisms into individual samples. Four repeat inoculations were performed in each sample with Pools 1, 2 &amp; 3, a single inoculation was performed with Pools 4 and 5. The number of surviving microorganisms were investigated as total viable counts (TVC) at the set time points by total viable counts (2 days after each inoculation for Pools 1, 2 &amp; 3, 2, 7, 14, 21 and 28 days post inoculations for Pools 4 &amp; 5). </w:t>
            </w:r>
          </w:p>
          <w:p w14:paraId="1D718AE7" w14:textId="77777777" w:rsidR="00CF59EF" w:rsidRPr="00FD395A" w:rsidRDefault="00CF59EF">
            <w:pPr>
              <w:rPr>
                <w:color w:val="000000"/>
                <w:sz w:val="16"/>
                <w:szCs w:val="16"/>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7EA7A37" w14:textId="77777777" w:rsidR="00CF59EF" w:rsidRDefault="000B5D37">
            <w:pPr>
              <w:rPr>
                <w:color w:val="000000"/>
                <w:sz w:val="16"/>
                <w:szCs w:val="16"/>
              </w:rPr>
            </w:pPr>
            <w:r w:rsidRPr="00FD395A">
              <w:rPr>
                <w:color w:val="000000"/>
                <w:sz w:val="16"/>
                <w:szCs w:val="16"/>
              </w:rPr>
              <w:lastRenderedPageBreak/>
              <w:t xml:space="preserve">Hand dishwashing liquid 2 (18% surfactant), pH 5.52-5.70 / 0 (unpreserved control), 0.5%, </w:t>
            </w:r>
            <w:r w:rsidRPr="00FD395A">
              <w:rPr>
                <w:color w:val="000000"/>
                <w:sz w:val="16"/>
                <w:szCs w:val="16"/>
              </w:rPr>
              <w:lastRenderedPageBreak/>
              <w:t>0.65% and 1.0% sodium benzoate / 2 days after each inoculations for Pools 1, 2 &amp; 3, 2, 7, 14, 21 and 28 days for Pools 4 and 5</w:t>
            </w:r>
          </w:p>
          <w:p w14:paraId="695F4F98" w14:textId="77777777" w:rsidR="00726A33" w:rsidRDefault="00726A33">
            <w:pPr>
              <w:rPr>
                <w:color w:val="000000"/>
                <w:sz w:val="16"/>
                <w:szCs w:val="16"/>
              </w:rPr>
            </w:pPr>
          </w:p>
          <w:p w14:paraId="087D5C3B" w14:textId="77777777" w:rsidR="00726A33" w:rsidRDefault="00726A33" w:rsidP="00726A33">
            <w:pPr>
              <w:rPr>
                <w:color w:val="000000"/>
                <w:sz w:val="16"/>
                <w:szCs w:val="16"/>
              </w:rPr>
            </w:pPr>
            <w:r>
              <w:rPr>
                <w:color w:val="000000"/>
                <w:sz w:val="16"/>
                <w:szCs w:val="16"/>
              </w:rPr>
              <w:t>Initial inoculum:</w:t>
            </w:r>
          </w:p>
          <w:p w14:paraId="4C47E706" w14:textId="77777777" w:rsidR="00726A33" w:rsidRDefault="00726A33" w:rsidP="00726A33">
            <w:pPr>
              <w:rPr>
                <w:color w:val="000000"/>
                <w:sz w:val="16"/>
                <w:szCs w:val="16"/>
              </w:rPr>
            </w:pPr>
            <w:r>
              <w:rPr>
                <w:color w:val="000000"/>
                <w:sz w:val="16"/>
                <w:szCs w:val="16"/>
              </w:rPr>
              <w:t xml:space="preserve">Bacteria: </w:t>
            </w:r>
          </w:p>
          <w:p w14:paraId="7D76B5BB" w14:textId="77777777" w:rsidR="00726A33" w:rsidRDefault="00726A33" w:rsidP="00726A33">
            <w:pPr>
              <w:rPr>
                <w:color w:val="000000"/>
                <w:sz w:val="16"/>
                <w:szCs w:val="16"/>
              </w:rPr>
            </w:pPr>
            <w:r>
              <w:rPr>
                <w:color w:val="000000"/>
                <w:sz w:val="16"/>
                <w:szCs w:val="16"/>
              </w:rPr>
              <w:t>5.0x10</w:t>
            </w:r>
            <w:r>
              <w:rPr>
                <w:color w:val="000000"/>
                <w:sz w:val="16"/>
                <w:szCs w:val="16"/>
                <w:vertAlign w:val="superscript"/>
              </w:rPr>
              <w:t>6</w:t>
            </w:r>
            <w:r>
              <w:rPr>
                <w:color w:val="000000"/>
                <w:sz w:val="16"/>
                <w:szCs w:val="16"/>
              </w:rPr>
              <w:t xml:space="preserve"> CFU/ml</w:t>
            </w:r>
          </w:p>
          <w:p w14:paraId="4E26BDFE" w14:textId="77777777" w:rsidR="00726A33" w:rsidRDefault="00726A33" w:rsidP="00726A33">
            <w:pPr>
              <w:rPr>
                <w:color w:val="000000"/>
                <w:sz w:val="16"/>
                <w:szCs w:val="16"/>
              </w:rPr>
            </w:pPr>
          </w:p>
          <w:p w14:paraId="3F53AB3D" w14:textId="77777777" w:rsidR="00726A33" w:rsidRDefault="00726A33" w:rsidP="00726A33">
            <w:pPr>
              <w:rPr>
                <w:color w:val="000000"/>
                <w:sz w:val="16"/>
                <w:szCs w:val="16"/>
              </w:rPr>
            </w:pPr>
            <w:r>
              <w:rPr>
                <w:color w:val="000000"/>
                <w:sz w:val="16"/>
                <w:szCs w:val="16"/>
              </w:rPr>
              <w:t xml:space="preserve">Yeast &amp; fungi: </w:t>
            </w:r>
          </w:p>
          <w:p w14:paraId="07DD2791" w14:textId="77777777" w:rsidR="00726A33" w:rsidRDefault="00726A33" w:rsidP="00726A33">
            <w:pPr>
              <w:rPr>
                <w:color w:val="000000"/>
                <w:sz w:val="16"/>
                <w:szCs w:val="16"/>
              </w:rPr>
            </w:pPr>
            <w:r>
              <w:rPr>
                <w:color w:val="000000"/>
                <w:sz w:val="16"/>
                <w:szCs w:val="16"/>
              </w:rPr>
              <w:t>5.0x10</w:t>
            </w:r>
            <w:r>
              <w:rPr>
                <w:color w:val="000000"/>
                <w:sz w:val="16"/>
                <w:szCs w:val="16"/>
                <w:vertAlign w:val="superscript"/>
              </w:rPr>
              <w:t>5</w:t>
            </w:r>
            <w:r>
              <w:rPr>
                <w:color w:val="000000"/>
                <w:sz w:val="16"/>
                <w:szCs w:val="16"/>
              </w:rPr>
              <w:t xml:space="preserve"> CFU/ml</w:t>
            </w:r>
          </w:p>
          <w:p w14:paraId="4A43A870" w14:textId="77777777" w:rsidR="00726A33" w:rsidRDefault="00726A33" w:rsidP="00726A33">
            <w:pPr>
              <w:rPr>
                <w:color w:val="000000"/>
                <w:sz w:val="16"/>
                <w:szCs w:val="16"/>
              </w:rPr>
            </w:pPr>
          </w:p>
          <w:p w14:paraId="20A1A476" w14:textId="77777777" w:rsidR="00726A33" w:rsidRPr="00FD395A" w:rsidRDefault="00726A33" w:rsidP="00726A33">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2EF930" w14:textId="77777777" w:rsidR="001649C7" w:rsidRPr="00FD395A" w:rsidRDefault="001649C7" w:rsidP="001649C7">
            <w:pPr>
              <w:rPr>
                <w:color w:val="000000"/>
                <w:sz w:val="16"/>
                <w:szCs w:val="16"/>
              </w:rPr>
            </w:pPr>
            <w:r w:rsidRPr="00FD395A">
              <w:rPr>
                <w:color w:val="000000"/>
                <w:sz w:val="16"/>
                <w:szCs w:val="16"/>
              </w:rPr>
              <w:lastRenderedPageBreak/>
              <w:t>Number of viable microorganisms for untreated controls, pH 5.52 (CFU/mL) 2  days after each inoculation (log reduction):</w:t>
            </w:r>
          </w:p>
          <w:p w14:paraId="491A9ABA" w14:textId="77777777" w:rsidR="001649C7" w:rsidRPr="00FD395A" w:rsidRDefault="001649C7" w:rsidP="001649C7">
            <w:pPr>
              <w:rPr>
                <w:color w:val="000000"/>
                <w:sz w:val="16"/>
                <w:szCs w:val="16"/>
              </w:rPr>
            </w:pPr>
          </w:p>
          <w:p w14:paraId="1CAEA7D1" w14:textId="77777777" w:rsidR="001649C7" w:rsidRPr="00FD395A" w:rsidRDefault="001649C7" w:rsidP="001649C7">
            <w:pPr>
              <w:rPr>
                <w:color w:val="000000"/>
                <w:sz w:val="16"/>
                <w:szCs w:val="16"/>
              </w:rPr>
            </w:pPr>
            <w:r w:rsidRPr="00FD395A">
              <w:rPr>
                <w:color w:val="000000"/>
                <w:sz w:val="16"/>
                <w:szCs w:val="16"/>
              </w:rPr>
              <w:t xml:space="preserve">Pool 1: &gt; 30000 (&lt;2) </w:t>
            </w:r>
          </w:p>
          <w:p w14:paraId="7368B305" w14:textId="77777777" w:rsidR="001649C7" w:rsidRPr="00FD395A" w:rsidRDefault="001649C7" w:rsidP="001649C7">
            <w:pPr>
              <w:rPr>
                <w:color w:val="000000"/>
                <w:sz w:val="16"/>
                <w:szCs w:val="16"/>
              </w:rPr>
            </w:pPr>
            <w:r w:rsidRPr="00FD395A">
              <w:rPr>
                <w:color w:val="000000"/>
                <w:sz w:val="16"/>
                <w:szCs w:val="16"/>
              </w:rPr>
              <w:t>Pool 2: &gt; 30000 (&lt;2)</w:t>
            </w:r>
          </w:p>
          <w:p w14:paraId="12A8CC91" w14:textId="77777777" w:rsidR="001649C7" w:rsidRPr="00FD395A" w:rsidRDefault="001649C7" w:rsidP="001649C7">
            <w:pPr>
              <w:rPr>
                <w:color w:val="000000"/>
                <w:sz w:val="16"/>
                <w:szCs w:val="16"/>
              </w:rPr>
            </w:pPr>
            <w:r w:rsidRPr="00FD395A">
              <w:rPr>
                <w:color w:val="000000"/>
                <w:sz w:val="16"/>
                <w:szCs w:val="16"/>
              </w:rPr>
              <w:t>S. aureus: &lt; 50 (&gt;4)</w:t>
            </w:r>
          </w:p>
          <w:p w14:paraId="70BC92FE" w14:textId="77777777" w:rsidR="001649C7" w:rsidRPr="00FD395A" w:rsidRDefault="001649C7" w:rsidP="001649C7">
            <w:pPr>
              <w:rPr>
                <w:color w:val="000000"/>
                <w:sz w:val="16"/>
                <w:szCs w:val="16"/>
              </w:rPr>
            </w:pPr>
          </w:p>
          <w:p w14:paraId="0D5FFC95" w14:textId="77777777" w:rsidR="001649C7" w:rsidRPr="00FD395A" w:rsidRDefault="001649C7" w:rsidP="001649C7">
            <w:pPr>
              <w:rPr>
                <w:color w:val="000000"/>
                <w:sz w:val="16"/>
                <w:szCs w:val="16"/>
              </w:rPr>
            </w:pPr>
            <w:r w:rsidRPr="00FD395A">
              <w:rPr>
                <w:color w:val="000000"/>
                <w:sz w:val="16"/>
                <w:szCs w:val="16"/>
              </w:rPr>
              <w:t>Number of viable microorganisms for untreated controls, pH 5.52 (CFU/mL) at days 7 and 28 after inoculation (log reduction):</w:t>
            </w:r>
          </w:p>
          <w:p w14:paraId="36699F98" w14:textId="77777777" w:rsidR="001649C7" w:rsidRPr="00FD395A" w:rsidRDefault="001649C7" w:rsidP="001649C7">
            <w:pPr>
              <w:rPr>
                <w:color w:val="000000"/>
                <w:sz w:val="16"/>
                <w:szCs w:val="16"/>
              </w:rPr>
            </w:pPr>
          </w:p>
          <w:p w14:paraId="0D1C5E4B" w14:textId="77777777" w:rsidR="001649C7" w:rsidRPr="00FD395A" w:rsidRDefault="001649C7" w:rsidP="001649C7">
            <w:pPr>
              <w:rPr>
                <w:color w:val="000000"/>
                <w:sz w:val="16"/>
                <w:szCs w:val="16"/>
              </w:rPr>
            </w:pPr>
            <w:r w:rsidRPr="00FD395A">
              <w:rPr>
                <w:color w:val="000000"/>
                <w:sz w:val="16"/>
                <w:szCs w:val="16"/>
              </w:rPr>
              <w:t>C. albicans: &lt; 100 (&gt;3)</w:t>
            </w:r>
          </w:p>
          <w:p w14:paraId="145A0F15" w14:textId="77777777" w:rsidR="001649C7" w:rsidRPr="00FD395A" w:rsidRDefault="001649C7" w:rsidP="001649C7">
            <w:pPr>
              <w:pStyle w:val="CommentText"/>
              <w:rPr>
                <w:sz w:val="16"/>
                <w:szCs w:val="16"/>
                <w:lang w:val="en-US"/>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30000 (&lt;2)</w:t>
            </w:r>
          </w:p>
          <w:p w14:paraId="5E015612" w14:textId="77777777" w:rsidR="001649C7" w:rsidRPr="00FD395A" w:rsidRDefault="001649C7" w:rsidP="001649C7">
            <w:pPr>
              <w:pStyle w:val="CommentText"/>
              <w:rPr>
                <w:sz w:val="16"/>
                <w:szCs w:val="16"/>
                <w:lang w:val="en-US"/>
              </w:rPr>
            </w:pPr>
          </w:p>
          <w:p w14:paraId="744FC847" w14:textId="77777777" w:rsidR="001649C7" w:rsidRPr="00FD395A" w:rsidRDefault="001649C7" w:rsidP="001649C7">
            <w:pPr>
              <w:pStyle w:val="CommentText"/>
              <w:rPr>
                <w:sz w:val="16"/>
                <w:szCs w:val="16"/>
                <w:lang w:val="en-US"/>
              </w:rPr>
            </w:pPr>
            <w:r w:rsidRPr="00FD395A">
              <w:rPr>
                <w:sz w:val="16"/>
                <w:szCs w:val="16"/>
                <w:lang w:val="en-US"/>
              </w:rPr>
              <w:t xml:space="preserve"> 0.5% </w:t>
            </w:r>
          </w:p>
          <w:p w14:paraId="33C34088" w14:textId="77777777" w:rsidR="001649C7" w:rsidRPr="00FD395A" w:rsidRDefault="001649C7" w:rsidP="001649C7">
            <w:pPr>
              <w:pStyle w:val="CommentText"/>
              <w:rPr>
                <w:sz w:val="16"/>
                <w:szCs w:val="16"/>
                <w:lang w:val="en-US"/>
              </w:rPr>
            </w:pPr>
            <w:r w:rsidRPr="00FD395A">
              <w:rPr>
                <w:sz w:val="16"/>
                <w:szCs w:val="16"/>
                <w:lang w:val="en-US"/>
              </w:rPr>
              <w:t>After 7 and 28 days</w:t>
            </w:r>
          </w:p>
          <w:p w14:paraId="648F7B3E" w14:textId="77777777" w:rsidR="001649C7" w:rsidRPr="00FD395A" w:rsidRDefault="001649C7" w:rsidP="001649C7">
            <w:pPr>
              <w:pStyle w:val="CommentText"/>
              <w:rPr>
                <w:sz w:val="16"/>
                <w:szCs w:val="16"/>
                <w:lang w:val="en-US"/>
              </w:rPr>
            </w:pPr>
          </w:p>
          <w:p w14:paraId="6F77F18E" w14:textId="77777777" w:rsidR="001649C7" w:rsidRPr="00FD395A" w:rsidRDefault="001649C7" w:rsidP="001649C7">
            <w:pPr>
              <w:pStyle w:val="CommentText"/>
              <w:rPr>
                <w:sz w:val="16"/>
                <w:szCs w:val="16"/>
                <w:lang w:val="en-US"/>
              </w:rPr>
            </w:pPr>
            <w:r w:rsidRPr="00FD395A">
              <w:rPr>
                <w:sz w:val="16"/>
                <w:szCs w:val="16"/>
                <w:lang w:val="en-US"/>
              </w:rPr>
              <w:t>Log R</w:t>
            </w:r>
          </w:p>
          <w:p w14:paraId="677AD456" w14:textId="77777777" w:rsidR="001649C7" w:rsidRPr="00FD395A" w:rsidRDefault="001649C7" w:rsidP="001649C7">
            <w:pPr>
              <w:pStyle w:val="CommentText"/>
              <w:rPr>
                <w:sz w:val="16"/>
                <w:szCs w:val="16"/>
                <w:lang w:val="en-US"/>
              </w:rPr>
            </w:pPr>
            <w:r w:rsidRPr="00FD395A">
              <w:rPr>
                <w:i/>
                <w:sz w:val="16"/>
                <w:szCs w:val="16"/>
                <w:lang w:val="en-US"/>
              </w:rPr>
              <w:t>C. albicans:</w:t>
            </w:r>
            <w:r w:rsidRPr="00FD395A">
              <w:rPr>
                <w:sz w:val="16"/>
                <w:szCs w:val="16"/>
                <w:lang w:val="en-US"/>
              </w:rPr>
              <w:t xml:space="preserve"> &gt; 3</w:t>
            </w:r>
          </w:p>
          <w:p w14:paraId="6E30DBE7" w14:textId="77777777" w:rsidR="001649C7" w:rsidRPr="00FD395A" w:rsidRDefault="001649C7" w:rsidP="001649C7">
            <w:pPr>
              <w:pStyle w:val="CommentText"/>
              <w:rPr>
                <w:sz w:val="16"/>
                <w:szCs w:val="16"/>
                <w:lang w:val="en-US"/>
              </w:rPr>
            </w:pPr>
            <w:r w:rsidRPr="00FD395A">
              <w:rPr>
                <w:i/>
                <w:sz w:val="16"/>
                <w:szCs w:val="16"/>
                <w:lang w:val="en-US"/>
              </w:rPr>
              <w:t xml:space="preserve">A. </w:t>
            </w:r>
            <w:proofErr w:type="spellStart"/>
            <w:r w:rsidRPr="00FD395A">
              <w:rPr>
                <w:i/>
                <w:sz w:val="16"/>
                <w:szCs w:val="16"/>
                <w:lang w:val="en-US"/>
              </w:rPr>
              <w:t>brasiliensis</w:t>
            </w:r>
            <w:proofErr w:type="spellEnd"/>
            <w:r w:rsidRPr="00FD395A">
              <w:rPr>
                <w:i/>
                <w:sz w:val="16"/>
                <w:szCs w:val="16"/>
                <w:lang w:val="en-US"/>
              </w:rPr>
              <w:t>:</w:t>
            </w:r>
            <w:r w:rsidRPr="00FD395A">
              <w:rPr>
                <w:sz w:val="16"/>
                <w:szCs w:val="16"/>
                <w:lang w:val="en-US"/>
              </w:rPr>
              <w:t xml:space="preserve"> &gt; 3</w:t>
            </w:r>
          </w:p>
          <w:p w14:paraId="63712600" w14:textId="77777777" w:rsidR="001649C7" w:rsidRPr="00FD395A" w:rsidRDefault="001649C7" w:rsidP="001649C7">
            <w:pPr>
              <w:pStyle w:val="CommentText"/>
              <w:rPr>
                <w:sz w:val="16"/>
                <w:szCs w:val="16"/>
                <w:lang w:val="en-US"/>
              </w:rPr>
            </w:pPr>
          </w:p>
          <w:p w14:paraId="06CBBC39" w14:textId="77777777" w:rsidR="001649C7" w:rsidRPr="00FD395A" w:rsidRDefault="001649C7" w:rsidP="001649C7">
            <w:pPr>
              <w:pStyle w:val="CommentText"/>
              <w:rPr>
                <w:sz w:val="16"/>
                <w:szCs w:val="16"/>
                <w:lang w:val="en-US"/>
              </w:rPr>
            </w:pPr>
          </w:p>
          <w:p w14:paraId="5100919A" w14:textId="77777777" w:rsidR="001649C7" w:rsidRPr="00FD395A" w:rsidRDefault="001649C7" w:rsidP="001649C7">
            <w:pPr>
              <w:pStyle w:val="CommentText"/>
              <w:rPr>
                <w:sz w:val="16"/>
                <w:szCs w:val="16"/>
                <w:lang w:val="en-US"/>
              </w:rPr>
            </w:pPr>
            <w:r w:rsidRPr="00FD395A">
              <w:rPr>
                <w:sz w:val="16"/>
                <w:szCs w:val="16"/>
                <w:lang w:val="en-US"/>
              </w:rPr>
              <w:t>0.65%</w:t>
            </w:r>
          </w:p>
          <w:p w14:paraId="1DDE91F2" w14:textId="77777777" w:rsidR="001649C7" w:rsidRPr="00FD395A" w:rsidRDefault="001649C7" w:rsidP="001649C7">
            <w:pPr>
              <w:pStyle w:val="CommentText"/>
              <w:rPr>
                <w:sz w:val="16"/>
                <w:szCs w:val="16"/>
                <w:lang w:val="en-US"/>
              </w:rPr>
            </w:pPr>
            <w:r w:rsidRPr="00FD395A">
              <w:rPr>
                <w:sz w:val="16"/>
                <w:szCs w:val="16"/>
                <w:lang w:val="en-US"/>
              </w:rPr>
              <w:t>After 2 days</w:t>
            </w:r>
          </w:p>
          <w:p w14:paraId="7E91B1F3" w14:textId="77777777" w:rsidR="001649C7" w:rsidRPr="00FD395A" w:rsidRDefault="001649C7" w:rsidP="001649C7">
            <w:pPr>
              <w:pStyle w:val="CommentText"/>
              <w:rPr>
                <w:sz w:val="16"/>
                <w:szCs w:val="16"/>
                <w:lang w:val="en-US"/>
              </w:rPr>
            </w:pPr>
          </w:p>
          <w:p w14:paraId="3664AA98" w14:textId="77777777" w:rsidR="001649C7" w:rsidRPr="00FD395A" w:rsidRDefault="001649C7" w:rsidP="001649C7">
            <w:pPr>
              <w:pStyle w:val="CommentText"/>
              <w:rPr>
                <w:sz w:val="16"/>
                <w:szCs w:val="16"/>
                <w:lang w:val="en-US"/>
              </w:rPr>
            </w:pPr>
            <w:r w:rsidRPr="00FD395A">
              <w:rPr>
                <w:sz w:val="16"/>
                <w:szCs w:val="16"/>
                <w:lang w:val="en-US"/>
              </w:rPr>
              <w:t>Log R</w:t>
            </w:r>
          </w:p>
          <w:p w14:paraId="4EF151AC" w14:textId="77777777" w:rsidR="001649C7" w:rsidRPr="00FD395A" w:rsidRDefault="001649C7" w:rsidP="001649C7">
            <w:pPr>
              <w:pStyle w:val="CommentText"/>
              <w:rPr>
                <w:sz w:val="16"/>
                <w:szCs w:val="16"/>
                <w:lang w:val="en-US"/>
              </w:rPr>
            </w:pPr>
            <w:r w:rsidRPr="00FD395A">
              <w:rPr>
                <w:sz w:val="16"/>
                <w:szCs w:val="16"/>
                <w:lang w:val="en-US"/>
              </w:rPr>
              <w:t>Pool 1: &gt;4</w:t>
            </w:r>
          </w:p>
          <w:p w14:paraId="1AD72621" w14:textId="77777777" w:rsidR="001649C7" w:rsidRPr="00EB287D" w:rsidRDefault="001649C7" w:rsidP="001649C7">
            <w:pPr>
              <w:pStyle w:val="CommentText"/>
              <w:rPr>
                <w:sz w:val="16"/>
                <w:szCs w:val="16"/>
                <w:lang w:val="en-US"/>
              </w:rPr>
            </w:pPr>
            <w:r w:rsidRPr="00EB287D">
              <w:rPr>
                <w:sz w:val="16"/>
                <w:szCs w:val="16"/>
                <w:lang w:val="en-US"/>
              </w:rPr>
              <w:t>Pool 2: &gt; 4</w:t>
            </w:r>
          </w:p>
          <w:p w14:paraId="4ADE7004" w14:textId="77777777" w:rsidR="00CF59EF" w:rsidRPr="00FD395A" w:rsidRDefault="001649C7" w:rsidP="001649C7">
            <w:pPr>
              <w:rPr>
                <w:color w:val="000000"/>
                <w:sz w:val="16"/>
                <w:szCs w:val="16"/>
              </w:rPr>
            </w:pPr>
            <w:r w:rsidRPr="00EB287D">
              <w:rPr>
                <w:i/>
                <w:sz w:val="16"/>
                <w:szCs w:val="16"/>
                <w:lang w:val="en-US"/>
              </w:rPr>
              <w:t>S. aureus</w:t>
            </w:r>
            <w:r w:rsidRPr="00EB287D">
              <w:rPr>
                <w:sz w:val="16"/>
                <w:szCs w:val="16"/>
                <w:lang w:val="en-US"/>
              </w:rPr>
              <w:t>: &gt; 4</w:t>
            </w:r>
          </w:p>
          <w:p w14:paraId="527C33DA" w14:textId="77777777" w:rsidR="00CF59EF" w:rsidRDefault="00CF59EF">
            <w:pPr>
              <w:rPr>
                <w:color w:val="000000"/>
                <w:sz w:val="16"/>
                <w:szCs w:val="16"/>
              </w:rPr>
            </w:pPr>
          </w:p>
          <w:p w14:paraId="01DE0957" w14:textId="77777777" w:rsidR="0064153C" w:rsidRPr="00FD395A" w:rsidRDefault="0064153C">
            <w:pPr>
              <w:rPr>
                <w:color w:val="000000"/>
                <w:sz w:val="16"/>
                <w:szCs w:val="16"/>
              </w:rPr>
            </w:pPr>
            <w:r w:rsidRPr="0064153C">
              <w:rPr>
                <w:b/>
                <w:color w:val="000000"/>
                <w:sz w:val="16"/>
                <w:szCs w:val="16"/>
              </w:rPr>
              <w:t>Study is not valid</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3E190B99" w14:textId="77777777" w:rsidR="00CF59EF" w:rsidRPr="00FD395A" w:rsidRDefault="000B5D37">
            <w:pPr>
              <w:rPr>
                <w:color w:val="000000"/>
                <w:sz w:val="16"/>
                <w:szCs w:val="16"/>
              </w:rPr>
            </w:pPr>
            <w:r w:rsidRPr="00FD395A">
              <w:rPr>
                <w:color w:val="000000"/>
                <w:sz w:val="16"/>
                <w:szCs w:val="16"/>
              </w:rPr>
              <w:lastRenderedPageBreak/>
              <w:t>2.2.5.5-5</w:t>
            </w:r>
          </w:p>
          <w:p w14:paraId="61DEC0E1" w14:textId="77777777" w:rsidR="00CF59EF" w:rsidRPr="00FD395A" w:rsidRDefault="000B5D37">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r w:rsidR="00CF59EF" w:rsidRPr="00FD395A" w14:paraId="117A28A4" w14:textId="77777777"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14:paraId="6FE7F00E" w14:textId="77777777"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FF14924" w14:textId="77777777" w:rsidR="00CF59EF" w:rsidRPr="00FD395A" w:rsidRDefault="000B5D37" w:rsidP="00EA163E">
            <w:pPr>
              <w:rPr>
                <w:color w:val="000000"/>
                <w:sz w:val="16"/>
                <w:szCs w:val="16"/>
              </w:rPr>
            </w:pPr>
            <w:r w:rsidRPr="00FD395A">
              <w:rPr>
                <w:color w:val="000000"/>
                <w:sz w:val="16"/>
                <w:szCs w:val="16"/>
              </w:rPr>
              <w:t xml:space="preserve">Preservation  of </w:t>
            </w:r>
            <w:r w:rsidR="00EA163E" w:rsidRPr="00FD395A">
              <w:rPr>
                <w:color w:val="000000"/>
                <w:sz w:val="16"/>
                <w:szCs w:val="16"/>
              </w:rPr>
              <w:t>non- ionic surfactant system</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68FADE3" w14:textId="77777777" w:rsidR="00CF59EF" w:rsidRPr="00FD395A" w:rsidRDefault="000B5D37">
            <w:pPr>
              <w:rPr>
                <w:color w:val="000000"/>
                <w:sz w:val="16"/>
                <w:szCs w:val="16"/>
              </w:rPr>
            </w:pPr>
            <w:r w:rsidRPr="00FD395A">
              <w:rPr>
                <w:color w:val="000000"/>
                <w:sz w:val="16"/>
                <w:szCs w:val="16"/>
              </w:rPr>
              <w:t>Sodium benzoate at 0.5%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10EC610" w14:textId="77777777" w:rsidR="00CF59EF" w:rsidRPr="00FD395A" w:rsidRDefault="000B5D37">
            <w:pPr>
              <w:rPr>
                <w:i/>
                <w:color w:val="000000"/>
                <w:sz w:val="16"/>
                <w:szCs w:val="16"/>
              </w:rPr>
            </w:pPr>
            <w:r w:rsidRPr="00FD395A">
              <w:rPr>
                <w:i/>
                <w:color w:val="000000"/>
                <w:sz w:val="16"/>
                <w:szCs w:val="16"/>
              </w:rPr>
              <w:t>E. coli (ATCC 8739)</w:t>
            </w:r>
          </w:p>
          <w:p w14:paraId="0ED14389" w14:textId="77777777" w:rsidR="00CF59EF" w:rsidRPr="00FD395A" w:rsidRDefault="000B5D37">
            <w:pPr>
              <w:rPr>
                <w:i/>
                <w:color w:val="000000"/>
                <w:sz w:val="16"/>
                <w:szCs w:val="16"/>
              </w:rPr>
            </w:pPr>
            <w:r w:rsidRPr="00FD395A">
              <w:rPr>
                <w:i/>
                <w:color w:val="000000"/>
                <w:sz w:val="16"/>
                <w:szCs w:val="16"/>
              </w:rPr>
              <w:t>S. aureus (ATCC 6538)</w:t>
            </w:r>
          </w:p>
          <w:p w14:paraId="0D188B95" w14:textId="77777777" w:rsidR="00CF59EF" w:rsidRPr="00FD395A" w:rsidRDefault="000B5D37">
            <w:pPr>
              <w:rPr>
                <w:i/>
                <w:color w:val="000000"/>
                <w:sz w:val="16"/>
                <w:szCs w:val="16"/>
              </w:rPr>
            </w:pPr>
            <w:r w:rsidRPr="00FD395A">
              <w:rPr>
                <w:i/>
                <w:color w:val="000000"/>
                <w:sz w:val="16"/>
                <w:szCs w:val="16"/>
              </w:rPr>
              <w:t>P. aeruginosa (ATCC 9027)</w:t>
            </w:r>
          </w:p>
          <w:p w14:paraId="01AF7813" w14:textId="77777777" w:rsidR="00CF59EF" w:rsidRPr="00FD395A" w:rsidRDefault="000B5D37">
            <w:pPr>
              <w:rPr>
                <w:i/>
                <w:color w:val="000000"/>
                <w:sz w:val="16"/>
                <w:szCs w:val="16"/>
              </w:rPr>
            </w:pPr>
            <w:r w:rsidRPr="00FD395A">
              <w:rPr>
                <w:i/>
                <w:color w:val="000000"/>
                <w:sz w:val="16"/>
                <w:szCs w:val="16"/>
              </w:rPr>
              <w:t>C. albicans (ATCC 10231)</w:t>
            </w:r>
          </w:p>
          <w:p w14:paraId="439E1312" w14:textId="77777777"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24E6CCA" w14:textId="77777777" w:rsidR="00CF59EF" w:rsidRPr="00FD395A" w:rsidRDefault="005D5483">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14:paraId="35B0444B" w14:textId="77777777" w:rsidR="00CF59EF" w:rsidRPr="00FD395A" w:rsidRDefault="00CF59EF">
            <w:pPr>
              <w:rPr>
                <w:color w:val="000000"/>
                <w:sz w:val="16"/>
                <w:szCs w:val="16"/>
              </w:rPr>
            </w:pPr>
          </w:p>
          <w:p w14:paraId="4638D2F4" w14:textId="77777777" w:rsidR="00CF59EF" w:rsidRPr="00FD395A" w:rsidRDefault="000B5D37">
            <w:pPr>
              <w:rPr>
                <w:color w:val="000000"/>
                <w:sz w:val="16"/>
                <w:szCs w:val="16"/>
              </w:rPr>
            </w:pPr>
            <w:r w:rsidRPr="00FD395A">
              <w:rPr>
                <w:color w:val="000000"/>
                <w:sz w:val="16"/>
                <w:szCs w:val="16"/>
              </w:rPr>
              <w:t xml:space="preserve">Frequency or level of infestation / infection: </w:t>
            </w:r>
          </w:p>
          <w:p w14:paraId="0D01AF17" w14:textId="77777777" w:rsidR="00CF59EF" w:rsidRPr="00FD395A" w:rsidRDefault="000B5D37">
            <w:pPr>
              <w:rPr>
                <w:color w:val="000000"/>
                <w:sz w:val="16"/>
                <w:szCs w:val="16"/>
              </w:rPr>
            </w:pPr>
            <w:r w:rsidRPr="00FD395A">
              <w:rPr>
                <w:color w:val="000000"/>
                <w:sz w:val="16"/>
                <w:szCs w:val="16"/>
              </w:rPr>
              <w:t xml:space="preserve">single inoculation </w:t>
            </w:r>
          </w:p>
          <w:p w14:paraId="14A6ADAB" w14:textId="77777777" w:rsidR="00CF59EF" w:rsidRPr="00FD395A" w:rsidRDefault="000B5D37">
            <w:pPr>
              <w:rPr>
                <w:color w:val="000000"/>
                <w:sz w:val="16"/>
                <w:szCs w:val="16"/>
              </w:rPr>
            </w:pPr>
            <w:r w:rsidRPr="00FD395A">
              <w:rPr>
                <w:color w:val="000000"/>
                <w:sz w:val="16"/>
                <w:szCs w:val="16"/>
              </w:rPr>
              <w:t xml:space="preserve"> </w:t>
            </w:r>
          </w:p>
          <w:p w14:paraId="59614852" w14:textId="77777777" w:rsidR="00CF59EF" w:rsidRPr="00FD395A" w:rsidRDefault="000B5D37">
            <w:pPr>
              <w:rPr>
                <w:color w:val="000000"/>
                <w:sz w:val="16"/>
                <w:szCs w:val="16"/>
              </w:rPr>
            </w:pPr>
            <w:r w:rsidRPr="00FD395A">
              <w:rPr>
                <w:color w:val="000000"/>
                <w:sz w:val="16"/>
                <w:szCs w:val="16"/>
              </w:rPr>
              <w:t xml:space="preserve">Number of replicates: </w:t>
            </w:r>
            <w:r w:rsidRPr="00FD395A">
              <w:rPr>
                <w:color w:val="000000"/>
                <w:sz w:val="16"/>
                <w:szCs w:val="16"/>
              </w:rPr>
              <w:lastRenderedPageBreak/>
              <w:t>duplicates when plating</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4204B68" w14:textId="77777777" w:rsidR="00CF59EF" w:rsidRDefault="000B5D37">
            <w:pPr>
              <w:rPr>
                <w:color w:val="000000"/>
                <w:sz w:val="16"/>
                <w:szCs w:val="16"/>
              </w:rPr>
            </w:pPr>
            <w:r w:rsidRPr="00FD395A">
              <w:rPr>
                <w:color w:val="000000"/>
                <w:sz w:val="16"/>
                <w:szCs w:val="16"/>
              </w:rPr>
              <w:lastRenderedPageBreak/>
              <w:t xml:space="preserve">Non-ionic surfactant-based formulation (see confidential annex for the details on composition), pH 5.5 / 0 (unpreserved control) and 0.5 sodium benzoate /14 (untreated controls and 0.5% sodium benzoate) </w:t>
            </w:r>
            <w:r w:rsidRPr="00FD395A">
              <w:rPr>
                <w:color w:val="000000"/>
                <w:sz w:val="16"/>
                <w:szCs w:val="16"/>
              </w:rPr>
              <w:lastRenderedPageBreak/>
              <w:t>and 28 days (0.5% sodium benzoate)</w:t>
            </w:r>
          </w:p>
          <w:p w14:paraId="65F9918C" w14:textId="77777777" w:rsidR="00490430" w:rsidRDefault="00490430">
            <w:pPr>
              <w:rPr>
                <w:color w:val="000000"/>
                <w:sz w:val="16"/>
                <w:szCs w:val="16"/>
              </w:rPr>
            </w:pPr>
          </w:p>
          <w:p w14:paraId="32518D9D" w14:textId="77777777" w:rsidR="00490430" w:rsidRPr="00FD395A" w:rsidRDefault="00490430" w:rsidP="00490430">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DB28D22" w14:textId="77777777" w:rsidR="00A40233" w:rsidRPr="00FD395A" w:rsidRDefault="00A40233" w:rsidP="00A40233">
            <w:pPr>
              <w:rPr>
                <w:color w:val="000000"/>
                <w:sz w:val="16"/>
                <w:szCs w:val="16"/>
              </w:rPr>
            </w:pPr>
            <w:r w:rsidRPr="00FD395A">
              <w:rPr>
                <w:color w:val="000000"/>
                <w:sz w:val="16"/>
                <w:szCs w:val="16"/>
              </w:rPr>
              <w:lastRenderedPageBreak/>
              <w:t>Number of viable microorganisms  (CFU/mL) for untreated controls at day 14 after inoculation:</w:t>
            </w:r>
          </w:p>
          <w:p w14:paraId="45DD4E08" w14:textId="77777777" w:rsidR="00A40233" w:rsidRPr="00FD395A" w:rsidRDefault="00A40233" w:rsidP="00A40233">
            <w:pPr>
              <w:rPr>
                <w:color w:val="000000"/>
                <w:sz w:val="16"/>
                <w:szCs w:val="16"/>
              </w:rPr>
            </w:pPr>
          </w:p>
          <w:p w14:paraId="56076C56" w14:textId="77777777" w:rsidR="00A40233" w:rsidRPr="00394E43" w:rsidRDefault="00A40233" w:rsidP="00A40233">
            <w:pPr>
              <w:rPr>
                <w:color w:val="000000"/>
                <w:sz w:val="16"/>
                <w:szCs w:val="16"/>
                <w:lang w:val="en-US"/>
              </w:rPr>
            </w:pPr>
            <w:r w:rsidRPr="00394E43">
              <w:rPr>
                <w:color w:val="000000"/>
                <w:sz w:val="16"/>
                <w:szCs w:val="16"/>
                <w:lang w:val="en-US"/>
              </w:rPr>
              <w:t xml:space="preserve">E. coli: 1,012,200 </w:t>
            </w:r>
          </w:p>
          <w:p w14:paraId="75D3FA80" w14:textId="77777777" w:rsidR="00A40233" w:rsidRPr="00394E43" w:rsidRDefault="00A40233" w:rsidP="00A40233">
            <w:pPr>
              <w:rPr>
                <w:color w:val="000000"/>
                <w:sz w:val="16"/>
                <w:szCs w:val="16"/>
                <w:lang w:val="en-US"/>
              </w:rPr>
            </w:pPr>
            <w:r w:rsidRPr="00394E43">
              <w:rPr>
                <w:color w:val="000000"/>
                <w:sz w:val="16"/>
                <w:szCs w:val="16"/>
                <w:lang w:val="en-US"/>
              </w:rPr>
              <w:t>S. aureus: 938,600</w:t>
            </w:r>
          </w:p>
          <w:p w14:paraId="603E09D8" w14:textId="77777777" w:rsidR="00A40233" w:rsidRPr="00394E43" w:rsidRDefault="00A40233" w:rsidP="00A40233">
            <w:pPr>
              <w:rPr>
                <w:color w:val="000000"/>
                <w:sz w:val="16"/>
                <w:szCs w:val="16"/>
                <w:lang w:val="en-US"/>
              </w:rPr>
            </w:pPr>
            <w:r w:rsidRPr="00394E43">
              <w:rPr>
                <w:color w:val="000000"/>
                <w:sz w:val="16"/>
                <w:szCs w:val="16"/>
                <w:lang w:val="en-US"/>
              </w:rPr>
              <w:t>P. aeruginosa: 414,180</w:t>
            </w:r>
          </w:p>
          <w:p w14:paraId="470C7B5C" w14:textId="77777777" w:rsidR="00A40233" w:rsidRPr="00FD395A" w:rsidRDefault="00A40233" w:rsidP="00A40233">
            <w:pPr>
              <w:rPr>
                <w:color w:val="000000"/>
                <w:sz w:val="16"/>
                <w:szCs w:val="16"/>
              </w:rPr>
            </w:pPr>
            <w:r w:rsidRPr="00FD395A">
              <w:rPr>
                <w:color w:val="000000"/>
                <w:sz w:val="16"/>
                <w:szCs w:val="16"/>
              </w:rPr>
              <w:t>C. albicans: 416,520</w:t>
            </w:r>
          </w:p>
          <w:p w14:paraId="44E554BC" w14:textId="77777777" w:rsidR="00A40233" w:rsidRPr="00FD395A" w:rsidRDefault="00A40233" w:rsidP="00A40233">
            <w:pPr>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805</w:t>
            </w:r>
          </w:p>
          <w:p w14:paraId="2CF081BF" w14:textId="77777777" w:rsidR="00A40233" w:rsidRPr="00FD395A" w:rsidRDefault="00A40233" w:rsidP="00A40233">
            <w:pPr>
              <w:pStyle w:val="CommentText"/>
              <w:rPr>
                <w:sz w:val="16"/>
                <w:szCs w:val="16"/>
              </w:rPr>
            </w:pPr>
          </w:p>
          <w:p w14:paraId="21AE40E0" w14:textId="77777777" w:rsidR="00A40233" w:rsidRPr="00FD395A" w:rsidRDefault="00A40233" w:rsidP="00A40233">
            <w:pPr>
              <w:pStyle w:val="CommentText"/>
              <w:rPr>
                <w:sz w:val="16"/>
                <w:szCs w:val="16"/>
                <w:lang w:val="en-US"/>
              </w:rPr>
            </w:pPr>
            <w:r w:rsidRPr="00FD395A">
              <w:rPr>
                <w:sz w:val="16"/>
                <w:szCs w:val="16"/>
                <w:lang w:val="en-US"/>
              </w:rPr>
              <w:t>0.5%</w:t>
            </w:r>
          </w:p>
          <w:p w14:paraId="34FB859A" w14:textId="77777777" w:rsidR="00A40233" w:rsidRPr="00FD395A" w:rsidRDefault="00A40233" w:rsidP="00A40233">
            <w:pPr>
              <w:pStyle w:val="CommentText"/>
              <w:rPr>
                <w:sz w:val="16"/>
                <w:szCs w:val="16"/>
                <w:lang w:val="en-US"/>
              </w:rPr>
            </w:pPr>
            <w:proofErr w:type="spellStart"/>
            <w:r w:rsidRPr="00FD395A">
              <w:rPr>
                <w:sz w:val="16"/>
                <w:szCs w:val="16"/>
                <w:lang w:val="en-US"/>
              </w:rPr>
              <w:t>LogR</w:t>
            </w:r>
            <w:proofErr w:type="spellEnd"/>
          </w:p>
          <w:p w14:paraId="30412F93" w14:textId="77777777" w:rsidR="00A40233" w:rsidRPr="00FD395A" w:rsidRDefault="00A40233" w:rsidP="00A40233">
            <w:pPr>
              <w:pStyle w:val="CommentText"/>
              <w:rPr>
                <w:sz w:val="16"/>
                <w:szCs w:val="16"/>
                <w:lang w:val="en-US"/>
              </w:rPr>
            </w:pPr>
            <w:r w:rsidRPr="00FD395A">
              <w:rPr>
                <w:sz w:val="16"/>
                <w:szCs w:val="16"/>
                <w:lang w:val="en-US"/>
              </w:rPr>
              <w:lastRenderedPageBreak/>
              <w:t>After 14 days</w:t>
            </w:r>
          </w:p>
          <w:p w14:paraId="4FCAF0F2" w14:textId="77777777" w:rsidR="00A40233" w:rsidRPr="00FD395A" w:rsidRDefault="00A40233" w:rsidP="00A40233">
            <w:pPr>
              <w:pStyle w:val="CommentText"/>
              <w:rPr>
                <w:sz w:val="16"/>
                <w:szCs w:val="16"/>
                <w:lang w:val="en-US"/>
              </w:rPr>
            </w:pPr>
          </w:p>
          <w:p w14:paraId="378A45E3" w14:textId="77777777" w:rsidR="00A40233" w:rsidRPr="00394E43" w:rsidRDefault="00A40233" w:rsidP="00A40233">
            <w:pPr>
              <w:pStyle w:val="CommentText"/>
              <w:rPr>
                <w:sz w:val="16"/>
                <w:szCs w:val="16"/>
                <w:lang w:val="en-US"/>
              </w:rPr>
            </w:pPr>
            <w:r w:rsidRPr="00394E43">
              <w:rPr>
                <w:sz w:val="16"/>
                <w:szCs w:val="16"/>
                <w:lang w:val="en-US"/>
              </w:rPr>
              <w:t>E. coli &gt; 4</w:t>
            </w:r>
          </w:p>
          <w:p w14:paraId="4EA7E45D" w14:textId="77777777" w:rsidR="00A40233" w:rsidRPr="00394E43" w:rsidRDefault="00A40233" w:rsidP="00A40233">
            <w:pPr>
              <w:pStyle w:val="CommentText"/>
              <w:rPr>
                <w:sz w:val="16"/>
                <w:szCs w:val="16"/>
                <w:lang w:val="en-US"/>
              </w:rPr>
            </w:pPr>
            <w:r w:rsidRPr="00394E43">
              <w:rPr>
                <w:sz w:val="16"/>
                <w:szCs w:val="16"/>
                <w:lang w:val="en-US"/>
              </w:rPr>
              <w:t>S. aureus &gt; 4</w:t>
            </w:r>
          </w:p>
          <w:p w14:paraId="19F0A7E4" w14:textId="77777777" w:rsidR="00A40233" w:rsidRPr="00394E43" w:rsidRDefault="00A40233" w:rsidP="00A40233">
            <w:pPr>
              <w:pStyle w:val="CommentText"/>
              <w:rPr>
                <w:sz w:val="16"/>
                <w:szCs w:val="16"/>
                <w:lang w:val="en-US"/>
              </w:rPr>
            </w:pPr>
            <w:r w:rsidRPr="00394E43">
              <w:rPr>
                <w:sz w:val="16"/>
                <w:szCs w:val="16"/>
                <w:lang w:val="en-US"/>
              </w:rPr>
              <w:t>P. aeruginosa &gt; 4</w:t>
            </w:r>
          </w:p>
          <w:p w14:paraId="4065A314" w14:textId="77777777" w:rsidR="00A40233" w:rsidRPr="00FD395A" w:rsidRDefault="00A40233" w:rsidP="00A40233">
            <w:pPr>
              <w:pStyle w:val="CommentText"/>
              <w:rPr>
                <w:sz w:val="16"/>
                <w:szCs w:val="16"/>
                <w:lang w:val="en-US"/>
              </w:rPr>
            </w:pPr>
            <w:r w:rsidRPr="00FD395A">
              <w:rPr>
                <w:sz w:val="16"/>
                <w:szCs w:val="16"/>
                <w:lang w:val="en-US"/>
              </w:rPr>
              <w:t>C. albicans &gt; 4</w:t>
            </w:r>
          </w:p>
          <w:p w14:paraId="162E1A86" w14:textId="77777777" w:rsidR="00A40233" w:rsidRPr="00FD395A" w:rsidRDefault="00A40233" w:rsidP="00A40233">
            <w:pPr>
              <w:pStyle w:val="CommentText"/>
              <w:rPr>
                <w:sz w:val="16"/>
                <w:szCs w:val="16"/>
                <w:lang w:val="en-US"/>
              </w:rPr>
            </w:pPr>
            <w:r w:rsidRPr="00FD395A">
              <w:rPr>
                <w:sz w:val="16"/>
                <w:szCs w:val="16"/>
                <w:lang w:val="en-US"/>
              </w:rPr>
              <w:t xml:space="preserve">A. </w:t>
            </w:r>
            <w:proofErr w:type="spellStart"/>
            <w:r w:rsidRPr="00FD395A">
              <w:rPr>
                <w:sz w:val="16"/>
                <w:szCs w:val="16"/>
                <w:lang w:val="en-US"/>
              </w:rPr>
              <w:t>brasiliensis</w:t>
            </w:r>
            <w:proofErr w:type="spellEnd"/>
            <w:r w:rsidRPr="00FD395A">
              <w:rPr>
                <w:sz w:val="16"/>
                <w:szCs w:val="16"/>
                <w:lang w:val="en-US"/>
              </w:rPr>
              <w:t xml:space="preserve"> no pass</w:t>
            </w:r>
          </w:p>
          <w:p w14:paraId="01BC3B82" w14:textId="77777777" w:rsidR="00A40233" w:rsidRPr="00FD395A" w:rsidRDefault="00A40233" w:rsidP="00A40233">
            <w:pPr>
              <w:pStyle w:val="CommentText"/>
              <w:rPr>
                <w:sz w:val="16"/>
                <w:szCs w:val="16"/>
                <w:lang w:val="en-US"/>
              </w:rPr>
            </w:pPr>
          </w:p>
          <w:p w14:paraId="2D439FE0" w14:textId="77777777" w:rsidR="00A40233" w:rsidRPr="00FD395A" w:rsidRDefault="00A40233" w:rsidP="00A40233">
            <w:pPr>
              <w:pStyle w:val="CommentText"/>
              <w:rPr>
                <w:sz w:val="16"/>
                <w:szCs w:val="16"/>
                <w:lang w:val="en-US"/>
              </w:rPr>
            </w:pPr>
            <w:r w:rsidRPr="00FD395A">
              <w:rPr>
                <w:sz w:val="16"/>
                <w:szCs w:val="16"/>
                <w:lang w:val="en-US"/>
              </w:rPr>
              <w:t>After 28 days</w:t>
            </w:r>
          </w:p>
          <w:p w14:paraId="16593051" w14:textId="77777777" w:rsidR="00A40233" w:rsidRPr="00FD395A" w:rsidRDefault="00A40233" w:rsidP="00A40233">
            <w:pPr>
              <w:pStyle w:val="CommentText"/>
              <w:rPr>
                <w:sz w:val="16"/>
                <w:szCs w:val="16"/>
                <w:lang w:val="en-US"/>
              </w:rPr>
            </w:pPr>
          </w:p>
          <w:p w14:paraId="769F5908" w14:textId="77777777" w:rsidR="00A40233" w:rsidRPr="00FD395A" w:rsidRDefault="00A40233" w:rsidP="00A40233">
            <w:pPr>
              <w:pStyle w:val="CommentText"/>
              <w:rPr>
                <w:sz w:val="16"/>
                <w:szCs w:val="16"/>
                <w:lang w:val="en-US"/>
              </w:rPr>
            </w:pPr>
            <w:r w:rsidRPr="00FD395A">
              <w:rPr>
                <w:sz w:val="16"/>
                <w:szCs w:val="16"/>
                <w:lang w:val="en-US"/>
              </w:rPr>
              <w:t>E. coli &gt; 4</w:t>
            </w:r>
          </w:p>
          <w:p w14:paraId="5A277E4B" w14:textId="77777777" w:rsidR="00A40233" w:rsidRPr="00FD395A" w:rsidRDefault="00A40233" w:rsidP="00A40233">
            <w:pPr>
              <w:pStyle w:val="CommentText"/>
              <w:rPr>
                <w:sz w:val="16"/>
                <w:szCs w:val="16"/>
                <w:lang w:val="en-US"/>
              </w:rPr>
            </w:pPr>
            <w:r w:rsidRPr="00FD395A">
              <w:rPr>
                <w:sz w:val="16"/>
                <w:szCs w:val="16"/>
                <w:lang w:val="en-US"/>
              </w:rPr>
              <w:t>S. aureus &gt; 4</w:t>
            </w:r>
          </w:p>
          <w:p w14:paraId="3824DCC9" w14:textId="77777777" w:rsidR="00A40233" w:rsidRPr="00FD395A" w:rsidRDefault="00A40233" w:rsidP="00A40233">
            <w:pPr>
              <w:pStyle w:val="CommentText"/>
              <w:rPr>
                <w:sz w:val="16"/>
                <w:szCs w:val="16"/>
                <w:lang w:val="en-US"/>
              </w:rPr>
            </w:pPr>
            <w:r w:rsidRPr="00FD395A">
              <w:rPr>
                <w:sz w:val="16"/>
                <w:szCs w:val="16"/>
                <w:lang w:val="en-US"/>
              </w:rPr>
              <w:t>P. aeruginosa &gt; 4</w:t>
            </w:r>
          </w:p>
          <w:p w14:paraId="7936E72E" w14:textId="77777777" w:rsidR="00A40233" w:rsidRPr="00FD395A" w:rsidRDefault="00A40233" w:rsidP="00A40233">
            <w:pPr>
              <w:pStyle w:val="CommentText"/>
              <w:rPr>
                <w:sz w:val="16"/>
                <w:szCs w:val="16"/>
                <w:lang w:val="en-US"/>
              </w:rPr>
            </w:pPr>
            <w:r w:rsidRPr="00FD395A">
              <w:rPr>
                <w:sz w:val="16"/>
                <w:szCs w:val="16"/>
                <w:lang w:val="en-US"/>
              </w:rPr>
              <w:t>C. albicans &gt; 4</w:t>
            </w:r>
          </w:p>
          <w:p w14:paraId="4A4FB996" w14:textId="77777777" w:rsidR="00A40233" w:rsidRPr="00FD395A" w:rsidRDefault="00A40233" w:rsidP="00A40233">
            <w:pPr>
              <w:rPr>
                <w:color w:val="000000"/>
                <w:sz w:val="16"/>
                <w:szCs w:val="16"/>
              </w:rPr>
            </w:pPr>
            <w:r w:rsidRPr="00FD395A">
              <w:rPr>
                <w:sz w:val="16"/>
                <w:szCs w:val="16"/>
                <w:lang w:val="en-US"/>
              </w:rPr>
              <w:t xml:space="preserve">A. </w:t>
            </w:r>
            <w:proofErr w:type="spellStart"/>
            <w:r w:rsidRPr="00FD395A">
              <w:rPr>
                <w:sz w:val="16"/>
                <w:szCs w:val="16"/>
                <w:lang w:val="en-US"/>
              </w:rPr>
              <w:t>brasiliensis</w:t>
            </w:r>
            <w:proofErr w:type="spellEnd"/>
            <w:r w:rsidRPr="00FD395A">
              <w:rPr>
                <w:sz w:val="16"/>
                <w:szCs w:val="16"/>
                <w:lang w:val="en-US"/>
              </w:rPr>
              <w:t xml:space="preserve"> no pass</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14:paraId="6F8F7C4B" w14:textId="77777777" w:rsidR="00CF59EF" w:rsidRPr="00FD395A" w:rsidRDefault="000B5D37">
            <w:pPr>
              <w:rPr>
                <w:color w:val="000000"/>
                <w:sz w:val="16"/>
                <w:szCs w:val="16"/>
              </w:rPr>
            </w:pPr>
            <w:r w:rsidRPr="00FD395A">
              <w:rPr>
                <w:color w:val="000000"/>
                <w:sz w:val="16"/>
                <w:szCs w:val="16"/>
              </w:rPr>
              <w:lastRenderedPageBreak/>
              <w:t>2.2.5.5-6</w:t>
            </w:r>
          </w:p>
          <w:p w14:paraId="6EA02A0D" w14:textId="77777777" w:rsidR="00CF59EF" w:rsidRPr="00FD395A" w:rsidRDefault="000B5D37">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r w:rsidR="00CF59EF" w:rsidRPr="00FD395A" w14:paraId="37DA26A7" w14:textId="77777777" w:rsidTr="00237E35">
        <w:tc>
          <w:tcPr>
            <w:tcW w:w="1263"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14:paraId="1675CF0F" w14:textId="77777777"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40951DC2" w14:textId="77777777" w:rsidR="00CF59EF" w:rsidRPr="00FD395A" w:rsidRDefault="000B5D37" w:rsidP="00EA163E">
            <w:pPr>
              <w:rPr>
                <w:color w:val="000000"/>
                <w:sz w:val="16"/>
                <w:szCs w:val="16"/>
              </w:rPr>
            </w:pPr>
            <w:r w:rsidRPr="00FD395A">
              <w:rPr>
                <w:color w:val="000000"/>
                <w:sz w:val="16"/>
                <w:szCs w:val="16"/>
              </w:rPr>
              <w:t xml:space="preserve">Preservation  of </w:t>
            </w:r>
            <w:r w:rsidR="00EA163E" w:rsidRPr="00FD395A">
              <w:rPr>
                <w:color w:val="000000"/>
                <w:sz w:val="16"/>
                <w:szCs w:val="16"/>
              </w:rPr>
              <w:t>non-ionic surfactant system</w:t>
            </w:r>
          </w:p>
        </w:tc>
        <w:tc>
          <w:tcPr>
            <w:tcW w:w="1312"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33A374DE" w14:textId="77777777" w:rsidR="00CF59EF" w:rsidRPr="00FD395A" w:rsidRDefault="000B5D37">
            <w:pPr>
              <w:rPr>
                <w:color w:val="000000"/>
                <w:sz w:val="16"/>
                <w:szCs w:val="16"/>
              </w:rPr>
            </w:pPr>
            <w:r w:rsidRPr="00FD395A">
              <w:rPr>
                <w:color w:val="000000"/>
                <w:sz w:val="16"/>
                <w:szCs w:val="16"/>
              </w:rPr>
              <w:t>Sodium benzoate at 0.26 (duplicate)% and 0.5% in formulation</w:t>
            </w:r>
          </w:p>
        </w:tc>
        <w:tc>
          <w:tcPr>
            <w:tcW w:w="1529"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20C736E0" w14:textId="77777777" w:rsidR="00CF59EF" w:rsidRPr="00FD395A" w:rsidRDefault="000B5D37">
            <w:pPr>
              <w:rPr>
                <w:i/>
                <w:color w:val="000000"/>
                <w:sz w:val="16"/>
                <w:szCs w:val="16"/>
              </w:rPr>
            </w:pPr>
            <w:r w:rsidRPr="00FD395A">
              <w:rPr>
                <w:i/>
                <w:color w:val="000000"/>
                <w:sz w:val="16"/>
                <w:szCs w:val="16"/>
              </w:rPr>
              <w:t>E. coli (ATCC 8739)</w:t>
            </w:r>
          </w:p>
          <w:p w14:paraId="1590FB21" w14:textId="77777777" w:rsidR="00CF59EF" w:rsidRPr="00FD395A" w:rsidRDefault="000B5D37">
            <w:pPr>
              <w:rPr>
                <w:i/>
                <w:color w:val="000000"/>
                <w:sz w:val="16"/>
                <w:szCs w:val="16"/>
              </w:rPr>
            </w:pPr>
            <w:r w:rsidRPr="00FD395A">
              <w:rPr>
                <w:i/>
                <w:color w:val="000000"/>
                <w:sz w:val="16"/>
                <w:szCs w:val="16"/>
              </w:rPr>
              <w:t>S. aureus (ATCC 6538)</w:t>
            </w:r>
          </w:p>
          <w:p w14:paraId="75FEECF6" w14:textId="77777777" w:rsidR="00CF59EF" w:rsidRPr="00FD395A" w:rsidRDefault="000B5D37">
            <w:pPr>
              <w:rPr>
                <w:i/>
                <w:color w:val="000000"/>
                <w:sz w:val="16"/>
                <w:szCs w:val="16"/>
              </w:rPr>
            </w:pPr>
            <w:r w:rsidRPr="00FD395A">
              <w:rPr>
                <w:i/>
                <w:color w:val="000000"/>
                <w:sz w:val="16"/>
                <w:szCs w:val="16"/>
              </w:rPr>
              <w:t>P. aeruginosa (ATCC 9027)</w:t>
            </w:r>
          </w:p>
          <w:p w14:paraId="4FD5A09D" w14:textId="77777777" w:rsidR="00CF59EF" w:rsidRPr="00FD395A" w:rsidRDefault="000B5D37">
            <w:pPr>
              <w:rPr>
                <w:i/>
                <w:color w:val="000000"/>
                <w:sz w:val="16"/>
                <w:szCs w:val="16"/>
              </w:rPr>
            </w:pPr>
            <w:r w:rsidRPr="00FD395A">
              <w:rPr>
                <w:i/>
                <w:color w:val="000000"/>
                <w:sz w:val="16"/>
                <w:szCs w:val="16"/>
              </w:rPr>
              <w:t>C. albicans (ATCC 10231)</w:t>
            </w:r>
          </w:p>
          <w:p w14:paraId="517F7BA1" w14:textId="77777777"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22B6AC1A" w14:textId="77777777" w:rsidR="00CF59EF" w:rsidRPr="00FD395A" w:rsidRDefault="005D5483">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14:paraId="54F52867" w14:textId="77777777" w:rsidR="00CF59EF" w:rsidRPr="00FD395A" w:rsidRDefault="00CF59EF">
            <w:pPr>
              <w:rPr>
                <w:color w:val="000000"/>
                <w:sz w:val="16"/>
                <w:szCs w:val="16"/>
              </w:rPr>
            </w:pPr>
          </w:p>
          <w:p w14:paraId="5C1BD1C8" w14:textId="77777777" w:rsidR="00CF59EF" w:rsidRPr="00FD395A" w:rsidRDefault="000B5D37">
            <w:pPr>
              <w:rPr>
                <w:color w:val="000000"/>
                <w:sz w:val="16"/>
                <w:szCs w:val="16"/>
              </w:rPr>
            </w:pPr>
            <w:r w:rsidRPr="00FD395A">
              <w:rPr>
                <w:color w:val="000000"/>
                <w:sz w:val="16"/>
                <w:szCs w:val="16"/>
              </w:rPr>
              <w:t xml:space="preserve">Frequency or level of infestation / infection: </w:t>
            </w:r>
          </w:p>
          <w:p w14:paraId="324BC1BF" w14:textId="77777777" w:rsidR="00CF59EF" w:rsidRPr="00FD395A" w:rsidRDefault="000B5D37">
            <w:pPr>
              <w:rPr>
                <w:color w:val="000000"/>
                <w:sz w:val="16"/>
                <w:szCs w:val="16"/>
              </w:rPr>
            </w:pPr>
            <w:r w:rsidRPr="00FD395A">
              <w:rPr>
                <w:color w:val="000000"/>
                <w:sz w:val="16"/>
                <w:szCs w:val="16"/>
              </w:rPr>
              <w:t>single inoculation 0.5%</w:t>
            </w:r>
          </w:p>
          <w:p w14:paraId="1F5478EE" w14:textId="77777777" w:rsidR="00CF59EF" w:rsidRPr="00FD395A" w:rsidRDefault="000B5D37">
            <w:pPr>
              <w:rPr>
                <w:color w:val="000000"/>
                <w:sz w:val="16"/>
                <w:szCs w:val="16"/>
              </w:rPr>
            </w:pPr>
            <w:r w:rsidRPr="00FD395A">
              <w:rPr>
                <w:color w:val="000000"/>
                <w:sz w:val="16"/>
                <w:szCs w:val="16"/>
              </w:rPr>
              <w:t>duplicate inoculation 0.26%</w:t>
            </w:r>
          </w:p>
          <w:p w14:paraId="06B01350" w14:textId="77777777" w:rsidR="00CF59EF" w:rsidRPr="00FD395A" w:rsidRDefault="000B5D37">
            <w:pPr>
              <w:rPr>
                <w:color w:val="000000"/>
                <w:sz w:val="16"/>
                <w:szCs w:val="16"/>
              </w:rPr>
            </w:pPr>
            <w:r w:rsidRPr="00FD395A">
              <w:rPr>
                <w:color w:val="000000"/>
                <w:sz w:val="16"/>
                <w:szCs w:val="16"/>
              </w:rPr>
              <w:t xml:space="preserve"> </w:t>
            </w:r>
          </w:p>
          <w:p w14:paraId="2BE1972A" w14:textId="77777777" w:rsidR="00CF59EF" w:rsidRPr="00FD395A" w:rsidRDefault="000B5D37">
            <w:pPr>
              <w:rPr>
                <w:color w:val="000000"/>
                <w:sz w:val="16"/>
                <w:szCs w:val="16"/>
              </w:rPr>
            </w:pPr>
            <w:r w:rsidRPr="00FD395A">
              <w:rPr>
                <w:color w:val="000000"/>
                <w:sz w:val="16"/>
                <w:szCs w:val="16"/>
              </w:rPr>
              <w:t xml:space="preserve">Number of replicates: </w:t>
            </w:r>
          </w:p>
          <w:p w14:paraId="0870FB74" w14:textId="77777777" w:rsidR="00CF59EF" w:rsidRPr="00FD395A" w:rsidRDefault="000B5D37">
            <w:pPr>
              <w:rPr>
                <w:color w:val="000000"/>
                <w:sz w:val="16"/>
                <w:szCs w:val="16"/>
              </w:rPr>
            </w:pPr>
            <w:r w:rsidRPr="00FD395A">
              <w:rPr>
                <w:color w:val="000000"/>
                <w:sz w:val="16"/>
                <w:szCs w:val="16"/>
              </w:rPr>
              <w:t>duplicate inoculation test with 0.26% sodium benzoate;</w:t>
            </w:r>
          </w:p>
          <w:p w14:paraId="716B58C5" w14:textId="77777777" w:rsidR="00CF59EF" w:rsidRPr="00FD395A" w:rsidRDefault="000B5D37">
            <w:pPr>
              <w:rPr>
                <w:color w:val="000000"/>
                <w:sz w:val="16"/>
                <w:szCs w:val="16"/>
              </w:rPr>
            </w:pPr>
            <w:r w:rsidRPr="00FD395A">
              <w:rPr>
                <w:color w:val="000000"/>
                <w:sz w:val="16"/>
                <w:szCs w:val="16"/>
              </w:rPr>
              <w:t>duplicates when plating for both concentrations</w:t>
            </w:r>
          </w:p>
        </w:tc>
        <w:tc>
          <w:tcPr>
            <w:tcW w:w="1643"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3E397048" w14:textId="77777777" w:rsidR="00CF59EF" w:rsidRDefault="000B5D37">
            <w:pPr>
              <w:rPr>
                <w:color w:val="000000"/>
                <w:sz w:val="16"/>
                <w:szCs w:val="16"/>
              </w:rPr>
            </w:pPr>
            <w:r w:rsidRPr="00FD395A">
              <w:rPr>
                <w:color w:val="000000"/>
                <w:sz w:val="16"/>
                <w:szCs w:val="16"/>
              </w:rPr>
              <w:t>Non-ionic surfactant-based formulation pH 5.5 / 0 (unpreserved control), 0.26 (2 tests) and 0.5 % sodium benzoate /0, 2, 7, 14 and 28 days</w:t>
            </w:r>
          </w:p>
          <w:p w14:paraId="3C955798" w14:textId="77777777" w:rsidR="00635743" w:rsidRDefault="00635743">
            <w:pPr>
              <w:rPr>
                <w:color w:val="000000"/>
                <w:sz w:val="16"/>
                <w:szCs w:val="16"/>
              </w:rPr>
            </w:pPr>
          </w:p>
          <w:p w14:paraId="484E291A" w14:textId="77777777" w:rsidR="00635743" w:rsidRDefault="00635743" w:rsidP="00635743">
            <w:pPr>
              <w:rPr>
                <w:color w:val="000000"/>
                <w:sz w:val="16"/>
                <w:szCs w:val="16"/>
              </w:rPr>
            </w:pPr>
            <w:r>
              <w:rPr>
                <w:color w:val="000000"/>
                <w:sz w:val="16"/>
                <w:szCs w:val="16"/>
              </w:rPr>
              <w:t>Initial inoculum:</w:t>
            </w:r>
          </w:p>
          <w:p w14:paraId="798B9DD6" w14:textId="77777777" w:rsidR="00635743" w:rsidRDefault="00635743" w:rsidP="00635743">
            <w:pPr>
              <w:rPr>
                <w:color w:val="000000"/>
                <w:sz w:val="16"/>
                <w:szCs w:val="16"/>
              </w:rPr>
            </w:pPr>
            <w:r>
              <w:rPr>
                <w:color w:val="000000"/>
                <w:sz w:val="16"/>
                <w:szCs w:val="16"/>
              </w:rPr>
              <w:t>&gt; 1.0x10</w:t>
            </w:r>
            <w:r w:rsidRPr="000E3394">
              <w:rPr>
                <w:color w:val="000000"/>
                <w:sz w:val="16"/>
                <w:szCs w:val="16"/>
                <w:vertAlign w:val="superscript"/>
              </w:rPr>
              <w:t>5</w:t>
            </w:r>
            <w:r>
              <w:rPr>
                <w:color w:val="000000"/>
                <w:sz w:val="16"/>
                <w:szCs w:val="16"/>
              </w:rPr>
              <w:t xml:space="preserve"> CFU/ml</w:t>
            </w:r>
          </w:p>
          <w:p w14:paraId="7C33214F" w14:textId="77777777" w:rsidR="00635743" w:rsidRDefault="00635743" w:rsidP="00635743">
            <w:pPr>
              <w:rPr>
                <w:color w:val="000000"/>
                <w:sz w:val="16"/>
                <w:szCs w:val="16"/>
              </w:rPr>
            </w:pPr>
          </w:p>
          <w:p w14:paraId="5091DC98" w14:textId="77777777" w:rsidR="00635743" w:rsidRPr="00FD395A" w:rsidRDefault="00635743" w:rsidP="00635743">
            <w:pPr>
              <w:rPr>
                <w:color w:val="000000"/>
                <w:sz w:val="16"/>
                <w:szCs w:val="16"/>
              </w:rPr>
            </w:pPr>
          </w:p>
        </w:tc>
        <w:tc>
          <w:tcPr>
            <w:tcW w:w="2430"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14:paraId="06C887AB" w14:textId="77777777" w:rsidR="00F84428" w:rsidRPr="00FD395A" w:rsidRDefault="00F84428" w:rsidP="00F84428">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14 days:</w:t>
            </w:r>
          </w:p>
          <w:p w14:paraId="5609536E" w14:textId="77777777" w:rsidR="00F84428" w:rsidRPr="00FD395A" w:rsidRDefault="00F84428" w:rsidP="00F84428">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sidRPr="00FD395A">
              <w:rPr>
                <w:color w:val="000000"/>
                <w:sz w:val="16"/>
                <w:szCs w:val="16"/>
                <w:lang w:val="en-US"/>
              </w:rPr>
              <w:t>0.5%</w:t>
            </w:r>
          </w:p>
          <w:p w14:paraId="3ED29886" w14:textId="77777777" w:rsidR="00F84428" w:rsidRPr="00FD395A" w:rsidRDefault="00F84428" w:rsidP="00F84428">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0.26%</w:t>
            </w:r>
          </w:p>
          <w:p w14:paraId="3032264C" w14:textId="77777777" w:rsidR="00F84428" w:rsidRPr="00FD395A" w:rsidRDefault="00F84428" w:rsidP="00F84428">
            <w:pPr>
              <w:rPr>
                <w:color w:val="000000"/>
                <w:sz w:val="16"/>
                <w:szCs w:val="16"/>
                <w:lang w:val="en-US"/>
              </w:rPr>
            </w:pPr>
            <w:r w:rsidRPr="00FD395A">
              <w:rPr>
                <w:i/>
                <w:color w:val="000000"/>
                <w:sz w:val="16"/>
                <w:szCs w:val="16"/>
                <w:lang w:val="en-US"/>
              </w:rPr>
              <w:t>P. aeruginosa</w:t>
            </w:r>
            <w:r w:rsidRPr="00FD395A">
              <w:rPr>
                <w:color w:val="000000"/>
                <w:sz w:val="16"/>
                <w:szCs w:val="16"/>
                <w:lang w:val="en-US"/>
              </w:rPr>
              <w:t>: 0.26%</w:t>
            </w:r>
          </w:p>
          <w:p w14:paraId="0EF3EE61" w14:textId="77777777" w:rsidR="00F84428" w:rsidRPr="00FD395A" w:rsidRDefault="00F84428" w:rsidP="00F84428">
            <w:pPr>
              <w:rPr>
                <w:color w:val="000000"/>
                <w:sz w:val="16"/>
                <w:szCs w:val="16"/>
                <w:lang w:val="en-US"/>
              </w:rPr>
            </w:pPr>
          </w:p>
          <w:p w14:paraId="3F0CBEA1" w14:textId="77777777" w:rsidR="00F84428" w:rsidRPr="00FD395A" w:rsidRDefault="00F84428" w:rsidP="00F84428">
            <w:pPr>
              <w:rPr>
                <w:color w:val="000000"/>
                <w:sz w:val="16"/>
                <w:szCs w:val="16"/>
                <w:lang w:val="en-US"/>
              </w:rPr>
            </w:pPr>
            <w:r w:rsidRPr="00FD395A">
              <w:rPr>
                <w:color w:val="000000"/>
                <w:sz w:val="16"/>
                <w:szCs w:val="16"/>
                <w:lang w:val="en-US"/>
              </w:rPr>
              <w:t>No increase at 14 days:</w:t>
            </w:r>
          </w:p>
          <w:p w14:paraId="66F9F396" w14:textId="77777777" w:rsidR="00F84428" w:rsidRPr="00FD395A" w:rsidRDefault="00F84428" w:rsidP="00F84428">
            <w:pPr>
              <w:rPr>
                <w:color w:val="000000"/>
                <w:sz w:val="16"/>
                <w:szCs w:val="16"/>
                <w:lang w:val="en-US"/>
              </w:rPr>
            </w:pPr>
            <w:r w:rsidRPr="00FD395A">
              <w:rPr>
                <w:i/>
                <w:color w:val="000000"/>
                <w:sz w:val="16"/>
                <w:szCs w:val="16"/>
                <w:lang w:val="en-US"/>
              </w:rPr>
              <w:t>C. albicans</w:t>
            </w:r>
            <w:r w:rsidRPr="00FD395A">
              <w:rPr>
                <w:color w:val="000000"/>
                <w:sz w:val="16"/>
                <w:szCs w:val="16"/>
                <w:lang w:val="en-US"/>
              </w:rPr>
              <w:t>: 0.26%</w:t>
            </w:r>
          </w:p>
          <w:p w14:paraId="1E02BE2D" w14:textId="77777777" w:rsidR="00F84428" w:rsidRPr="00FD395A" w:rsidRDefault="00F84428" w:rsidP="00F84428">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0.26%</w:t>
            </w:r>
          </w:p>
          <w:p w14:paraId="6A468169" w14:textId="77777777" w:rsidR="00F84428" w:rsidRDefault="00F84428" w:rsidP="00F84428">
            <w:pPr>
              <w:rPr>
                <w:color w:val="000000"/>
                <w:sz w:val="16"/>
                <w:szCs w:val="16"/>
                <w:lang w:val="en-US"/>
              </w:rPr>
            </w:pPr>
          </w:p>
          <w:p w14:paraId="2DDF9AC6" w14:textId="77777777" w:rsidR="00E04B81" w:rsidRDefault="00E04B81" w:rsidP="00E04B81">
            <w:pPr>
              <w:rPr>
                <w:color w:val="000000"/>
                <w:sz w:val="16"/>
                <w:szCs w:val="16"/>
                <w:lang w:val="en-US"/>
              </w:rPr>
            </w:pPr>
            <w:r>
              <w:rPr>
                <w:color w:val="000000"/>
                <w:sz w:val="16"/>
                <w:szCs w:val="16"/>
                <w:lang w:val="en-US"/>
              </w:rPr>
              <w:t>Untreated controls (0%) at 14 days:</w:t>
            </w:r>
          </w:p>
          <w:p w14:paraId="76415A8B" w14:textId="77777777" w:rsidR="00E04B81" w:rsidRPr="00FD395A" w:rsidRDefault="00E04B81" w:rsidP="00E04B81">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w:t>
            </w:r>
          </w:p>
          <w:p w14:paraId="443B84AD" w14:textId="77777777" w:rsidR="00E04B81" w:rsidRPr="00FD395A" w:rsidRDefault="00E04B81" w:rsidP="00E04B81">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w:t>
            </w:r>
          </w:p>
          <w:p w14:paraId="3A5DB631" w14:textId="77777777" w:rsidR="00E04B81" w:rsidRPr="00FD395A" w:rsidRDefault="00E04B81" w:rsidP="00E04B81">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w:t>
            </w:r>
          </w:p>
          <w:p w14:paraId="38234B5F" w14:textId="77777777" w:rsidR="00E04B81" w:rsidRPr="00FD395A" w:rsidRDefault="00E04B81" w:rsidP="00E04B81">
            <w:pPr>
              <w:rPr>
                <w:color w:val="000000"/>
                <w:sz w:val="16"/>
                <w:szCs w:val="16"/>
                <w:lang w:val="en-US"/>
              </w:rPr>
            </w:pPr>
            <w:r w:rsidRPr="005B12BD">
              <w:rPr>
                <w:i/>
                <w:color w:val="000000"/>
                <w:sz w:val="16"/>
                <w:szCs w:val="16"/>
                <w:lang w:val="en-US"/>
              </w:rPr>
              <w:t>C. albicans</w:t>
            </w:r>
            <w:r>
              <w:rPr>
                <w:color w:val="000000"/>
                <w:sz w:val="16"/>
                <w:szCs w:val="16"/>
                <w:lang w:val="en-US"/>
              </w:rPr>
              <w:t>: increase</w:t>
            </w:r>
          </w:p>
          <w:p w14:paraId="3D0F3F9F" w14:textId="77777777" w:rsidR="00E04B81" w:rsidRDefault="00E04B81" w:rsidP="00E04B81">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decrease</w:t>
            </w:r>
          </w:p>
          <w:p w14:paraId="0D0894E0" w14:textId="77777777" w:rsidR="00E04B81" w:rsidRPr="00FD395A" w:rsidRDefault="00E04B81" w:rsidP="00F84428">
            <w:pPr>
              <w:rPr>
                <w:color w:val="000000"/>
                <w:sz w:val="16"/>
                <w:szCs w:val="16"/>
                <w:lang w:val="en-US"/>
              </w:rPr>
            </w:pPr>
          </w:p>
          <w:p w14:paraId="1D440E3F" w14:textId="77777777" w:rsidR="00F84428" w:rsidRPr="00FD395A" w:rsidRDefault="00F84428" w:rsidP="00F84428">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28 days:</w:t>
            </w:r>
          </w:p>
          <w:p w14:paraId="56E35B8E" w14:textId="77777777" w:rsidR="00F84428" w:rsidRPr="00394E43" w:rsidRDefault="00F84428" w:rsidP="00F84428">
            <w:pPr>
              <w:rPr>
                <w:color w:val="000000"/>
                <w:sz w:val="16"/>
                <w:szCs w:val="16"/>
                <w:vertAlign w:val="superscript"/>
                <w:lang w:val="en-US"/>
              </w:rPr>
            </w:pPr>
            <w:r w:rsidRPr="00394E43">
              <w:rPr>
                <w:i/>
                <w:color w:val="000000"/>
                <w:sz w:val="16"/>
                <w:szCs w:val="16"/>
                <w:lang w:val="en-US"/>
              </w:rPr>
              <w:t>E. coli</w:t>
            </w:r>
            <w:r w:rsidRPr="00394E43">
              <w:rPr>
                <w:color w:val="000000"/>
                <w:sz w:val="16"/>
                <w:szCs w:val="16"/>
                <w:lang w:val="en-US"/>
              </w:rPr>
              <w:t>: 0.</w:t>
            </w:r>
            <w:r w:rsidR="00277159" w:rsidRPr="00394E43">
              <w:rPr>
                <w:color w:val="000000"/>
                <w:sz w:val="16"/>
                <w:szCs w:val="16"/>
                <w:lang w:val="en-US"/>
              </w:rPr>
              <w:t>5</w:t>
            </w:r>
            <w:r w:rsidRPr="00394E43">
              <w:rPr>
                <w:color w:val="000000"/>
                <w:sz w:val="16"/>
                <w:szCs w:val="16"/>
                <w:lang w:val="en-US"/>
              </w:rPr>
              <w:t>%</w:t>
            </w:r>
          </w:p>
          <w:p w14:paraId="6B3C3A2A" w14:textId="77777777" w:rsidR="00F84428" w:rsidRPr="00394E43" w:rsidRDefault="00F84428" w:rsidP="00F84428">
            <w:pPr>
              <w:rPr>
                <w:color w:val="000000"/>
                <w:sz w:val="16"/>
                <w:szCs w:val="16"/>
                <w:vertAlign w:val="superscript"/>
                <w:lang w:val="en-US"/>
              </w:rPr>
            </w:pPr>
            <w:r w:rsidRPr="00394E43">
              <w:rPr>
                <w:i/>
                <w:color w:val="000000"/>
                <w:sz w:val="16"/>
                <w:szCs w:val="16"/>
                <w:lang w:val="en-US"/>
              </w:rPr>
              <w:t>S. aureus</w:t>
            </w:r>
            <w:r w:rsidRPr="00394E43">
              <w:rPr>
                <w:color w:val="000000"/>
                <w:sz w:val="16"/>
                <w:szCs w:val="16"/>
                <w:lang w:val="en-US"/>
              </w:rPr>
              <w:t>: 0.26%</w:t>
            </w:r>
          </w:p>
          <w:p w14:paraId="00904676" w14:textId="77777777" w:rsidR="00F84428" w:rsidRPr="00394E43" w:rsidRDefault="00F84428" w:rsidP="00F84428">
            <w:pPr>
              <w:rPr>
                <w:color w:val="000000"/>
                <w:sz w:val="16"/>
                <w:szCs w:val="16"/>
                <w:lang w:val="en-US"/>
              </w:rPr>
            </w:pPr>
            <w:r w:rsidRPr="00394E43">
              <w:rPr>
                <w:i/>
                <w:color w:val="000000"/>
                <w:sz w:val="16"/>
                <w:szCs w:val="16"/>
                <w:lang w:val="en-US"/>
              </w:rPr>
              <w:t>P. aeruginosa</w:t>
            </w:r>
            <w:r w:rsidRPr="00394E43">
              <w:rPr>
                <w:color w:val="000000"/>
                <w:sz w:val="16"/>
                <w:szCs w:val="16"/>
                <w:lang w:val="en-US"/>
              </w:rPr>
              <w:t>: 0.26%</w:t>
            </w:r>
          </w:p>
          <w:p w14:paraId="39EBD13E" w14:textId="77777777" w:rsidR="00F84428" w:rsidRPr="00394E43" w:rsidRDefault="00F84428" w:rsidP="00F84428">
            <w:pPr>
              <w:rPr>
                <w:color w:val="000000"/>
                <w:sz w:val="16"/>
                <w:szCs w:val="16"/>
                <w:lang w:val="en-US"/>
              </w:rPr>
            </w:pPr>
          </w:p>
          <w:p w14:paraId="26C71017" w14:textId="77777777" w:rsidR="00F84428" w:rsidRPr="00FD395A" w:rsidRDefault="00F84428" w:rsidP="00F84428">
            <w:pPr>
              <w:rPr>
                <w:color w:val="000000"/>
                <w:sz w:val="16"/>
                <w:szCs w:val="16"/>
                <w:lang w:val="en-US"/>
              </w:rPr>
            </w:pPr>
            <w:r w:rsidRPr="00FD395A">
              <w:rPr>
                <w:color w:val="000000"/>
                <w:sz w:val="16"/>
                <w:szCs w:val="16"/>
                <w:lang w:val="en-US"/>
              </w:rPr>
              <w:t xml:space="preserve">No increase at 28 days: </w:t>
            </w:r>
          </w:p>
          <w:p w14:paraId="3DC11C1F" w14:textId="77777777" w:rsidR="00F84428" w:rsidRPr="00FD395A" w:rsidRDefault="00F84428" w:rsidP="00F84428">
            <w:pPr>
              <w:rPr>
                <w:color w:val="000000"/>
                <w:sz w:val="16"/>
                <w:szCs w:val="16"/>
                <w:lang w:val="en-US"/>
              </w:rPr>
            </w:pPr>
            <w:r w:rsidRPr="00FD395A">
              <w:rPr>
                <w:i/>
                <w:color w:val="000000"/>
                <w:sz w:val="16"/>
                <w:szCs w:val="16"/>
                <w:lang w:val="en-US"/>
              </w:rPr>
              <w:t>C. albicans</w:t>
            </w:r>
            <w:r w:rsidRPr="00FD395A">
              <w:rPr>
                <w:color w:val="000000"/>
                <w:sz w:val="16"/>
                <w:szCs w:val="16"/>
                <w:lang w:val="en-US"/>
              </w:rPr>
              <w:t>: 0.26%</w:t>
            </w:r>
          </w:p>
          <w:p w14:paraId="34609BF7" w14:textId="77777777" w:rsidR="00F84428" w:rsidRPr="00FD395A" w:rsidRDefault="00F84428" w:rsidP="00F84428">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0.26%</w:t>
            </w:r>
          </w:p>
          <w:p w14:paraId="794C303D" w14:textId="77777777" w:rsidR="00F84428" w:rsidRPr="00FD395A" w:rsidRDefault="00F84428">
            <w:pPr>
              <w:rPr>
                <w:color w:val="000000"/>
                <w:sz w:val="16"/>
                <w:szCs w:val="16"/>
                <w:lang w:val="en-US"/>
              </w:rPr>
            </w:pPr>
          </w:p>
          <w:p w14:paraId="7AE3885F" w14:textId="77777777" w:rsidR="00E04B81" w:rsidRDefault="00E04B81" w:rsidP="00E04B81">
            <w:pPr>
              <w:rPr>
                <w:color w:val="000000"/>
                <w:sz w:val="16"/>
                <w:szCs w:val="16"/>
                <w:lang w:val="en-US"/>
              </w:rPr>
            </w:pPr>
            <w:r>
              <w:rPr>
                <w:color w:val="000000"/>
                <w:sz w:val="16"/>
                <w:szCs w:val="16"/>
                <w:lang w:val="en-US"/>
              </w:rPr>
              <w:t>Untreated controls (0%) at 28 days:</w:t>
            </w:r>
          </w:p>
          <w:p w14:paraId="05F39A3A" w14:textId="77777777" w:rsidR="00E04B81" w:rsidRPr="00FD395A" w:rsidRDefault="00E04B81" w:rsidP="00E04B81">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w:t>
            </w:r>
          </w:p>
          <w:p w14:paraId="6D706455" w14:textId="77777777" w:rsidR="00E04B81" w:rsidRPr="00FD395A" w:rsidRDefault="00E04B81" w:rsidP="00E04B81">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w:t>
            </w:r>
          </w:p>
          <w:p w14:paraId="0BC5F2BD" w14:textId="77777777" w:rsidR="00E04B81" w:rsidRPr="00FD395A" w:rsidRDefault="00E04B81" w:rsidP="00E04B81">
            <w:pPr>
              <w:rPr>
                <w:color w:val="000000"/>
                <w:sz w:val="16"/>
                <w:szCs w:val="16"/>
                <w:lang w:val="en-US"/>
              </w:rPr>
            </w:pPr>
            <w:r w:rsidRPr="00FD395A">
              <w:rPr>
                <w:i/>
                <w:color w:val="000000"/>
                <w:sz w:val="16"/>
                <w:szCs w:val="16"/>
                <w:lang w:val="en-US"/>
              </w:rPr>
              <w:lastRenderedPageBreak/>
              <w:t>P. aeruginosa</w:t>
            </w:r>
            <w:r w:rsidRPr="00FD395A">
              <w:rPr>
                <w:color w:val="000000"/>
                <w:sz w:val="16"/>
                <w:szCs w:val="16"/>
                <w:lang w:val="en-US"/>
              </w:rPr>
              <w:t xml:space="preserve">: </w:t>
            </w:r>
            <w:r>
              <w:rPr>
                <w:color w:val="000000"/>
                <w:sz w:val="16"/>
                <w:szCs w:val="16"/>
                <w:lang w:val="en-US"/>
              </w:rPr>
              <w:t>increase</w:t>
            </w:r>
          </w:p>
          <w:p w14:paraId="43FDF8D4" w14:textId="77777777" w:rsidR="00E04B81" w:rsidRPr="00FD395A" w:rsidRDefault="00E04B81" w:rsidP="00E04B81">
            <w:pPr>
              <w:rPr>
                <w:color w:val="000000"/>
                <w:sz w:val="16"/>
                <w:szCs w:val="16"/>
                <w:lang w:val="en-US"/>
              </w:rPr>
            </w:pPr>
            <w:r w:rsidRPr="005B12BD">
              <w:rPr>
                <w:i/>
                <w:color w:val="000000"/>
                <w:sz w:val="16"/>
                <w:szCs w:val="16"/>
                <w:lang w:val="en-US"/>
              </w:rPr>
              <w:t>C. albicans</w:t>
            </w:r>
            <w:r>
              <w:rPr>
                <w:color w:val="000000"/>
                <w:sz w:val="16"/>
                <w:szCs w:val="16"/>
                <w:lang w:val="en-US"/>
              </w:rPr>
              <w:t>: increase</w:t>
            </w:r>
          </w:p>
          <w:p w14:paraId="013FB164" w14:textId="77777777" w:rsidR="00CF59EF" w:rsidRDefault="00E04B81" w:rsidP="00E04B81">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regrowth after decrease</w:t>
            </w:r>
          </w:p>
          <w:p w14:paraId="0384EAAD" w14:textId="77777777" w:rsidR="00C54791" w:rsidRDefault="00C54791" w:rsidP="00E04B81">
            <w:pPr>
              <w:rPr>
                <w:color w:val="000000"/>
                <w:sz w:val="16"/>
                <w:szCs w:val="16"/>
                <w:lang w:val="en-US"/>
              </w:rPr>
            </w:pPr>
          </w:p>
          <w:p w14:paraId="1D2B9BCF" w14:textId="77777777" w:rsidR="00C54791" w:rsidRPr="001A37C7" w:rsidRDefault="00C54791" w:rsidP="00E04B81">
            <w:pPr>
              <w:rPr>
                <w:b/>
                <w:color w:val="000000"/>
                <w:sz w:val="16"/>
                <w:szCs w:val="16"/>
                <w:u w:val="single"/>
                <w:lang w:val="en-US"/>
              </w:rPr>
            </w:pPr>
            <w:r w:rsidRPr="001A37C7">
              <w:rPr>
                <w:b/>
                <w:color w:val="000000"/>
                <w:sz w:val="16"/>
                <w:szCs w:val="16"/>
                <w:u w:val="single"/>
                <w:lang w:val="en-US"/>
              </w:rPr>
              <w:t>Note:</w:t>
            </w:r>
          </w:p>
          <w:p w14:paraId="2D051293" w14:textId="77777777" w:rsidR="00C54791" w:rsidRPr="00FD395A" w:rsidRDefault="00C54791" w:rsidP="00C54791">
            <w:pPr>
              <w:rPr>
                <w:color w:val="000000"/>
                <w:sz w:val="16"/>
                <w:szCs w:val="16"/>
                <w:lang w:val="en-US"/>
              </w:rPr>
            </w:pPr>
            <w:r w:rsidRPr="00C54791">
              <w:rPr>
                <w:i/>
                <w:color w:val="000000"/>
                <w:sz w:val="16"/>
                <w:szCs w:val="16"/>
                <w:lang w:val="en-US"/>
              </w:rPr>
              <w:t xml:space="preserve">A. </w:t>
            </w:r>
            <w:proofErr w:type="spellStart"/>
            <w:r w:rsidRPr="00C54791">
              <w:rPr>
                <w:i/>
                <w:color w:val="000000"/>
                <w:sz w:val="16"/>
                <w:szCs w:val="16"/>
                <w:lang w:val="en-US"/>
              </w:rPr>
              <w:t>brasiliensis</w:t>
            </w:r>
            <w:proofErr w:type="spellEnd"/>
            <w:r w:rsidRPr="00C54791">
              <w:rPr>
                <w:color w:val="000000"/>
                <w:sz w:val="16"/>
                <w:szCs w:val="16"/>
                <w:lang w:val="en-US"/>
              </w:rPr>
              <w:t xml:space="preserve"> </w:t>
            </w:r>
            <w:r>
              <w:rPr>
                <w:color w:val="000000"/>
                <w:sz w:val="16"/>
                <w:szCs w:val="16"/>
                <w:lang w:val="en-US"/>
              </w:rPr>
              <w:t xml:space="preserve">is already suppressed </w:t>
            </w:r>
            <w:r w:rsidRPr="00C54791">
              <w:rPr>
                <w:color w:val="000000"/>
                <w:sz w:val="16"/>
                <w:szCs w:val="16"/>
                <w:lang w:val="en-US"/>
              </w:rPr>
              <w:t>by the non-ionic surfactant matrix itself</w:t>
            </w:r>
            <w:r>
              <w:rPr>
                <w:color w:val="000000"/>
                <w:sz w:val="16"/>
                <w:szCs w:val="16"/>
                <w:lang w:val="en-US"/>
              </w:rPr>
              <w:t>, but</w:t>
            </w:r>
            <w:r w:rsidRPr="00C54791">
              <w:rPr>
                <w:color w:val="000000"/>
                <w:sz w:val="16"/>
                <w:szCs w:val="16"/>
                <w:lang w:val="en-US"/>
              </w:rPr>
              <w:t xml:space="preserve"> inclusion of 5 g/L sodium benzoate does cause a significant additional reduction after 28 days. At 0% counts are 82.000 CFU/ml and at 0.5% it is 135 CFU/ml, which means an additional 600-fold (2.8 log) reduction due to the sodium benzoate</w:t>
            </w:r>
            <w:r>
              <w:rPr>
                <w:color w:val="000000"/>
                <w:sz w:val="16"/>
                <w:szCs w:val="16"/>
                <w:lang w:val="en-US"/>
              </w:rPr>
              <w:t>.</w:t>
            </w:r>
          </w:p>
        </w:tc>
        <w:tc>
          <w:tcPr>
            <w:tcW w:w="2153"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14:paraId="36A658B3" w14:textId="77777777" w:rsidR="00CF59EF" w:rsidRPr="00FD395A" w:rsidRDefault="000B5D37">
            <w:pPr>
              <w:rPr>
                <w:color w:val="000000"/>
                <w:sz w:val="16"/>
                <w:szCs w:val="16"/>
              </w:rPr>
            </w:pPr>
            <w:r w:rsidRPr="00FD395A">
              <w:rPr>
                <w:color w:val="000000"/>
                <w:sz w:val="16"/>
                <w:szCs w:val="16"/>
              </w:rPr>
              <w:lastRenderedPageBreak/>
              <w:t>2.2.5.5-7</w:t>
            </w:r>
          </w:p>
          <w:p w14:paraId="26A58B35" w14:textId="77777777" w:rsidR="00CF59EF" w:rsidRPr="00FD395A" w:rsidRDefault="000B5D37" w:rsidP="00C73B4A">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bl>
    <w:p w14:paraId="4709A990" w14:textId="77777777" w:rsidR="00CF59EF" w:rsidRDefault="00CF59EF">
      <w:pPr>
        <w:sectPr w:rsidR="00CF59EF">
          <w:headerReference w:type="default" r:id="rId18"/>
          <w:footerReference w:type="default" r:id="rId19"/>
          <w:pgSz w:w="16838" w:h="11906" w:orient="landscape"/>
          <w:pgMar w:top="1446" w:right="1474" w:bottom="1247" w:left="2013" w:header="850" w:footer="850" w:gutter="0"/>
          <w:cols w:space="708"/>
          <w:formProt w:val="0"/>
          <w:docGrid w:linePitch="272" w:charSpace="2047"/>
        </w:sectPr>
      </w:pPr>
    </w:p>
    <w:p w14:paraId="58BACB6F" w14:textId="77777777" w:rsidR="00CF59EF" w:rsidRDefault="00CF59EF"/>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14:paraId="5D2C86C1" w14:textId="77777777" w:rsidTr="00EB287D">
        <w:tc>
          <w:tcPr>
            <w:tcW w:w="9429"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111B3E2A" w14:textId="77777777" w:rsidR="00CF59EF" w:rsidRDefault="000B5D37">
            <w:pPr>
              <w:spacing w:line="260" w:lineRule="atLeast"/>
              <w:rPr>
                <w:rFonts w:eastAsia="Calibri"/>
                <w:b/>
                <w:bCs/>
                <w:lang w:eastAsia="en-US"/>
              </w:rPr>
            </w:pPr>
            <w:r>
              <w:rPr>
                <w:rFonts w:eastAsia="Calibri"/>
                <w:b/>
                <w:bCs/>
                <w:lang w:eastAsia="en-US"/>
              </w:rPr>
              <w:t>Conclusion on the efficacy of the product</w:t>
            </w:r>
            <w:r w:rsidR="009435D6">
              <w:rPr>
                <w:rFonts w:eastAsia="Calibri"/>
                <w:b/>
                <w:bCs/>
                <w:lang w:eastAsia="en-US"/>
              </w:rPr>
              <w:t xml:space="preserve"> by the applicant</w:t>
            </w:r>
          </w:p>
        </w:tc>
      </w:tr>
      <w:tr w:rsidR="00CF59EF" w14:paraId="5F73BDC6" w14:textId="77777777" w:rsidTr="00EB287D">
        <w:trPr>
          <w:trHeight w:val="298"/>
        </w:trPr>
        <w:tc>
          <w:tcPr>
            <w:tcW w:w="942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103A8E7B" w14:textId="77777777" w:rsidR="00CF59EF" w:rsidRPr="004F469D" w:rsidRDefault="000B5D37">
            <w:pPr>
              <w:spacing w:line="260" w:lineRule="atLeast"/>
              <w:rPr>
                <w:rFonts w:eastAsia="Calibri"/>
                <w:lang w:eastAsia="en-US"/>
              </w:rPr>
            </w:pPr>
            <w:r w:rsidRPr="004F469D">
              <w:rPr>
                <w:rFonts w:eastAsia="Calibri"/>
                <w:lang w:eastAsia="en-US"/>
              </w:rPr>
              <w:t xml:space="preserve">The biocidal product </w:t>
            </w:r>
            <w:proofErr w:type="spellStart"/>
            <w:r w:rsidRPr="004F469D">
              <w:rPr>
                <w:rFonts w:eastAsia="Calibri"/>
                <w:lang w:eastAsia="en-US"/>
              </w:rPr>
              <w:t>Kalaguard</w:t>
            </w:r>
            <w:proofErr w:type="spellEnd"/>
            <w:r w:rsidRPr="004F469D">
              <w:rPr>
                <w:rFonts w:eastAsia="Calibri"/>
                <w:lang w:eastAsia="en-US"/>
              </w:rPr>
              <w:t xml:space="preserve">® SB is a 100% (w/w) formulation of sodium benzoate (&gt;99.99 (w/w) pure), thus the studies conducted with sodium benzoate are applicable for the biocidal product and vice versa. </w:t>
            </w:r>
            <w:r w:rsidR="006738CA">
              <w:rPr>
                <w:rFonts w:eastAsia="Calibri"/>
                <w:lang w:eastAsia="en-US"/>
              </w:rPr>
              <w:t>T</w:t>
            </w:r>
            <w:r w:rsidRPr="004F469D">
              <w:rPr>
                <w:rFonts w:eastAsia="Calibri"/>
                <w:lang w:eastAsia="en-US"/>
              </w:rPr>
              <w:t>he terms “biocidal product” and “sodium benzoate” are used interchangeably.</w:t>
            </w:r>
          </w:p>
          <w:p w14:paraId="3178BB88" w14:textId="77777777" w:rsidR="00CF59EF" w:rsidRDefault="000B5D37">
            <w:pPr>
              <w:spacing w:line="260" w:lineRule="atLeast"/>
              <w:rPr>
                <w:rFonts w:eastAsia="Calibri"/>
                <w:lang w:eastAsia="en-US"/>
              </w:rPr>
            </w:pPr>
            <w:r w:rsidRPr="004F469D">
              <w:rPr>
                <w:rFonts w:eastAsia="Calibri"/>
                <w:lang w:eastAsia="en-US"/>
              </w:rPr>
              <w:t xml:space="preserve">In accordance with Guidance on the BPR: Volume II Parts B+C, v. 3.0 (April 2018), a tiered approach was followed to test the biocidal product. As a tier 1 (proof of principle) test the biocidal activity of sodium benzoate at </w:t>
            </w:r>
            <w:r w:rsidR="006E56BD" w:rsidRPr="004F469D">
              <w:rPr>
                <w:rFonts w:eastAsia="Calibri"/>
                <w:lang w:eastAsia="en-US"/>
              </w:rPr>
              <w:t xml:space="preserve">different </w:t>
            </w:r>
            <w:r w:rsidRPr="004F469D">
              <w:rPr>
                <w:rFonts w:eastAsia="Calibri"/>
                <w:lang w:eastAsia="en-US"/>
              </w:rPr>
              <w:t>concentration levels was tested in a tryptic soy b</w:t>
            </w:r>
            <w:r w:rsidR="00AB31A9">
              <w:rPr>
                <w:rFonts w:eastAsia="Calibri"/>
                <w:lang w:eastAsia="en-US"/>
              </w:rPr>
              <w:t xml:space="preserve">roth </w:t>
            </w:r>
            <w:r w:rsidRPr="004F469D">
              <w:rPr>
                <w:rFonts w:eastAsia="Calibri"/>
                <w:lang w:eastAsia="en-US"/>
              </w:rPr>
              <w:t>(</w:t>
            </w:r>
            <w:proofErr w:type="spellStart"/>
            <w:r w:rsidRPr="004F469D">
              <w:rPr>
                <w:rFonts w:eastAsia="Calibri"/>
                <w:lang w:eastAsia="en-US"/>
              </w:rPr>
              <w:t>Wanrooij</w:t>
            </w:r>
            <w:proofErr w:type="spellEnd"/>
            <w:r w:rsidRPr="004F469D">
              <w:rPr>
                <w:rFonts w:eastAsia="Calibri"/>
                <w:lang w:eastAsia="en-US"/>
              </w:rPr>
              <w:t xml:space="preserve">, 2018), using a procedure based on United States Pharmacopoeia (USP) 51 Method. The formulations were inoculated with 5 </w:t>
            </w:r>
            <w:r w:rsidR="00471AEC">
              <w:rPr>
                <w:rFonts w:eastAsia="Calibri"/>
                <w:lang w:eastAsia="en-US"/>
              </w:rPr>
              <w:t>microbial</w:t>
            </w:r>
            <w:r w:rsidR="00471AEC" w:rsidRPr="004F469D">
              <w:rPr>
                <w:rFonts w:eastAsia="Calibri"/>
                <w:lang w:eastAsia="en-US"/>
              </w:rPr>
              <w:t xml:space="preserve"> </w:t>
            </w:r>
            <w:r w:rsidRPr="004F469D">
              <w:rPr>
                <w:rFonts w:eastAsia="Calibri"/>
                <w:lang w:eastAsia="en-US"/>
              </w:rPr>
              <w:t xml:space="preserve">strains (bacterial strains </w:t>
            </w:r>
            <w:r w:rsidRPr="004F469D">
              <w:rPr>
                <w:rFonts w:eastAsia="Calibri"/>
                <w:i/>
                <w:lang w:eastAsia="en-US"/>
              </w:rPr>
              <w:t>E. coli</w:t>
            </w:r>
            <w:r w:rsidRPr="004F469D">
              <w:rPr>
                <w:rFonts w:eastAsia="Calibri"/>
                <w:lang w:eastAsia="en-US"/>
              </w:rPr>
              <w:t xml:space="preserve">, </w:t>
            </w:r>
            <w:r w:rsidRPr="004F469D">
              <w:rPr>
                <w:rFonts w:eastAsia="Calibri"/>
                <w:i/>
                <w:lang w:eastAsia="en-US"/>
              </w:rPr>
              <w:t>S. aureus</w:t>
            </w:r>
            <w:r w:rsidRPr="004F469D">
              <w:rPr>
                <w:rFonts w:eastAsia="Calibri"/>
                <w:lang w:eastAsia="en-US"/>
              </w:rPr>
              <w:t xml:space="preserve">, </w:t>
            </w:r>
            <w:r w:rsidRPr="004F469D">
              <w:rPr>
                <w:rFonts w:eastAsia="Calibri"/>
                <w:i/>
                <w:lang w:eastAsia="en-US"/>
              </w:rPr>
              <w:t>P. aeruginosa</w:t>
            </w:r>
            <w:r w:rsidRPr="004F469D">
              <w:rPr>
                <w:rFonts w:eastAsia="Calibri"/>
                <w:lang w:eastAsia="en-US"/>
              </w:rPr>
              <w:t xml:space="preserve">, yeast strain </w:t>
            </w:r>
            <w:r w:rsidRPr="004F469D">
              <w:rPr>
                <w:rFonts w:eastAsia="Calibri"/>
                <w:i/>
                <w:lang w:eastAsia="en-US"/>
              </w:rPr>
              <w:t>C. albicans</w:t>
            </w:r>
            <w:r w:rsidRPr="004F469D">
              <w:rPr>
                <w:rFonts w:eastAsia="Calibri"/>
                <w:lang w:eastAsia="en-US"/>
              </w:rPr>
              <w:t xml:space="preserve"> and </w:t>
            </w:r>
            <w:r w:rsidRPr="004F469D">
              <w:rPr>
                <w:rFonts w:eastAsia="Calibri"/>
                <w:i/>
                <w:lang w:eastAsia="en-US"/>
              </w:rPr>
              <w:t xml:space="preserve">A. </w:t>
            </w:r>
            <w:proofErr w:type="spellStart"/>
            <w:r w:rsidRPr="004F469D">
              <w:rPr>
                <w:rFonts w:eastAsia="Calibri"/>
                <w:i/>
                <w:lang w:eastAsia="en-US"/>
              </w:rPr>
              <w:t>brasiliensis</w:t>
            </w:r>
            <w:proofErr w:type="spellEnd"/>
            <w:r w:rsidRPr="004F469D">
              <w:rPr>
                <w:rFonts w:eastAsia="Calibri"/>
                <w:lang w:eastAsia="en-US"/>
              </w:rPr>
              <w:t>)</w:t>
            </w:r>
            <w:r w:rsidR="00AB31A9">
              <w:rPr>
                <w:rFonts w:eastAsia="Calibri"/>
                <w:lang w:eastAsia="en-US"/>
              </w:rPr>
              <w:t>.</w:t>
            </w:r>
            <w:r w:rsidRPr="004F469D">
              <w:rPr>
                <w:rFonts w:eastAsia="Calibri"/>
                <w:lang w:eastAsia="en-US"/>
              </w:rPr>
              <w:t xml:space="preserve"> </w:t>
            </w:r>
            <w:r w:rsidR="00AB31A9">
              <w:rPr>
                <w:rFonts w:eastAsia="Calibri"/>
                <w:lang w:eastAsia="en-US"/>
              </w:rPr>
              <w:t>T</w:t>
            </w:r>
            <w:r w:rsidRPr="004F469D">
              <w:rPr>
                <w:rFonts w:eastAsia="Calibri"/>
                <w:lang w:eastAsia="en-US"/>
              </w:rPr>
              <w:t>he number of viable microorganisms was counted aft</w:t>
            </w:r>
            <w:r w:rsidR="00AB31A9">
              <w:rPr>
                <w:rFonts w:eastAsia="Calibri"/>
                <w:lang w:eastAsia="en-US"/>
              </w:rPr>
              <w:t xml:space="preserve">er 14 and 28 days contact time. </w:t>
            </w:r>
            <w:r w:rsidRPr="004F469D">
              <w:rPr>
                <w:rFonts w:eastAsia="Calibri"/>
                <w:lang w:eastAsia="en-US"/>
              </w:rPr>
              <w:t xml:space="preserve">Sodium benzoate at </w:t>
            </w:r>
            <w:r w:rsidR="00AB31A9">
              <w:rPr>
                <w:rFonts w:eastAsia="Calibri"/>
                <w:lang w:eastAsia="en-US"/>
              </w:rPr>
              <w:t xml:space="preserve">a </w:t>
            </w:r>
            <w:r w:rsidRPr="004F469D">
              <w:rPr>
                <w:rFonts w:eastAsia="Calibri"/>
                <w:lang w:eastAsia="en-US"/>
              </w:rPr>
              <w:t xml:space="preserve">concentration level of 1% and above was efficacious against all tested strains, resulting in </w:t>
            </w:r>
            <w:r w:rsidR="00AB31A9">
              <w:rPr>
                <w:rFonts w:eastAsia="Calibri"/>
                <w:lang w:eastAsia="en-US"/>
              </w:rPr>
              <w:t xml:space="preserve">a </w:t>
            </w:r>
            <w:r w:rsidRPr="004F469D">
              <w:rPr>
                <w:rFonts w:eastAsia="Calibri"/>
                <w:lang w:eastAsia="en-US"/>
              </w:rPr>
              <w:t>log reduction &gt; 4 for all strains on day 28 after the inoculation.</w:t>
            </w:r>
            <w:r>
              <w:rPr>
                <w:rFonts w:eastAsia="Calibri"/>
                <w:lang w:eastAsia="en-US"/>
              </w:rPr>
              <w:t xml:space="preserve">  </w:t>
            </w:r>
          </w:p>
          <w:p w14:paraId="7FBF28BE" w14:textId="77777777" w:rsidR="00CF59EF" w:rsidRDefault="00CF59EF">
            <w:pPr>
              <w:spacing w:line="260" w:lineRule="atLeast"/>
              <w:rPr>
                <w:rFonts w:eastAsia="Calibri"/>
                <w:lang w:eastAsia="en-US"/>
              </w:rPr>
            </w:pPr>
          </w:p>
          <w:p w14:paraId="638B0725" w14:textId="77777777" w:rsidR="00CF59EF" w:rsidRDefault="001E1B8A">
            <w:pPr>
              <w:spacing w:line="260" w:lineRule="atLeast"/>
              <w:rPr>
                <w:rFonts w:eastAsia="Calibri"/>
                <w:lang w:eastAsia="en-US"/>
              </w:rPr>
            </w:pPr>
            <w:r>
              <w:rPr>
                <w:rFonts w:eastAsia="Calibri"/>
                <w:lang w:eastAsia="en-US"/>
              </w:rPr>
              <w:t>For tier 2</w:t>
            </w:r>
            <w:r w:rsidR="002E08A4">
              <w:rPr>
                <w:rFonts w:eastAsia="Calibri"/>
                <w:lang w:eastAsia="en-US"/>
              </w:rPr>
              <w:t>,</w:t>
            </w:r>
            <w:r w:rsidR="000B5D37">
              <w:rPr>
                <w:rFonts w:eastAsia="Calibri"/>
                <w:lang w:eastAsia="en-US"/>
              </w:rPr>
              <w:t xml:space="preserve"> two hand dishwashing formulations varying in the concentration of the active detergent (surfactant) level (9.4% and 18%), preserved with sodium benzoate, were inoculated with 5 different pools of microorganisms: environmental isolates from Gram-negative non-</w:t>
            </w:r>
            <w:r>
              <w:rPr>
                <w:rFonts w:eastAsia="Calibri"/>
                <w:lang w:eastAsia="en-US"/>
              </w:rPr>
              <w:t>fermenters</w:t>
            </w:r>
            <w:r w:rsidR="000B5D37">
              <w:rPr>
                <w:rFonts w:eastAsia="Calibri"/>
                <w:lang w:eastAsia="en-US"/>
              </w:rPr>
              <w:t xml:space="preserve"> and fermenters, </w:t>
            </w:r>
            <w:r w:rsidR="000B5D37">
              <w:rPr>
                <w:rFonts w:eastAsia="Calibri"/>
                <w:i/>
                <w:lang w:eastAsia="en-US"/>
              </w:rPr>
              <w:t>S. aureus</w:t>
            </w:r>
            <w:r w:rsidR="000B5D37">
              <w:rPr>
                <w:rFonts w:eastAsia="Calibri"/>
                <w:lang w:eastAsia="en-US"/>
              </w:rPr>
              <w:t xml:space="preserve">, </w:t>
            </w:r>
            <w:r w:rsidR="000B5D37">
              <w:rPr>
                <w:rFonts w:eastAsia="Calibri"/>
                <w:i/>
                <w:lang w:eastAsia="en-US"/>
              </w:rPr>
              <w:t>C. albicans</w:t>
            </w:r>
            <w:r w:rsidR="000B5D37">
              <w:rPr>
                <w:rFonts w:eastAsia="Calibri"/>
                <w:lang w:eastAsia="en-US"/>
              </w:rPr>
              <w:t xml:space="preserve"> and </w:t>
            </w:r>
            <w:r w:rsidR="000B5D37">
              <w:rPr>
                <w:rFonts w:eastAsia="Calibri"/>
                <w:i/>
                <w:lang w:eastAsia="en-US"/>
              </w:rPr>
              <w:t xml:space="preserve">A. </w:t>
            </w:r>
            <w:proofErr w:type="spellStart"/>
            <w:r w:rsidR="000B5D37">
              <w:rPr>
                <w:rFonts w:eastAsia="Calibri"/>
                <w:i/>
                <w:lang w:eastAsia="en-US"/>
              </w:rPr>
              <w:t>brasiliensis</w:t>
            </w:r>
            <w:proofErr w:type="spellEnd"/>
            <w:r>
              <w:rPr>
                <w:rFonts w:eastAsia="Calibri"/>
                <w:lang w:eastAsia="en-US"/>
              </w:rPr>
              <w:t xml:space="preserve"> (Jay and Ross, 2016)</w:t>
            </w:r>
            <w:r w:rsidR="000B5D37">
              <w:rPr>
                <w:rFonts w:eastAsia="Calibri"/>
                <w:lang w:eastAsia="en-US"/>
              </w:rPr>
              <w:t xml:space="preserve">. It should be noted that the samples containing sodium benzoate also contained 0.1% of the chelator ethylenediaminetetraacetic acid (EDTA), while no EDTA was included in the untreated controls. Antimicrobial activity of EDTA is known; however, literature </w:t>
            </w:r>
            <w:r w:rsidR="000B5D37" w:rsidRPr="00300FA5">
              <w:rPr>
                <w:rFonts w:eastAsia="Calibri"/>
                <w:lang w:eastAsia="en-US"/>
              </w:rPr>
              <w:t>sources suggest that this activity is not sufficient when EDTA is used on its own (</w:t>
            </w:r>
            <w:proofErr w:type="spellStart"/>
            <w:r w:rsidR="000B5D37" w:rsidRPr="00300FA5">
              <w:rPr>
                <w:rFonts w:eastAsia="Calibri"/>
                <w:lang w:eastAsia="en-US"/>
              </w:rPr>
              <w:t>Kabara</w:t>
            </w:r>
            <w:proofErr w:type="spellEnd"/>
            <w:r w:rsidR="000B5D37" w:rsidRPr="00300FA5">
              <w:rPr>
                <w:rFonts w:eastAsia="Calibri"/>
                <w:lang w:eastAsia="en-US"/>
              </w:rPr>
              <w:t xml:space="preserve">, 1997). The exact bacterial strains in the used environmental isolates were not specified by the study authors; however, it was confirmed that these strains were commonly encountered in the dishwashing formulations of the manufacturer and therefore considered to be confidential (private communication with the study owner). For bacteria, four repeat inoculations were performed in each sample, while for yeasts and mould a single inoculation was performed. The numbers of surviving microorganisms were determined 2 days after each inoculation with bacteria, and 2, 7, 14, 21 and 28 days post-inoculation with moulds and yeasts as Total Viable Counts. All tested concentrations of sodium benzoate for the dishwashing formulation containing 18% surfactant caused an acceptable reduction in the number of viable microorganisms </w:t>
            </w:r>
            <w:r w:rsidR="0059312D" w:rsidRPr="00300FA5">
              <w:rPr>
                <w:rFonts w:eastAsia="Calibri"/>
                <w:lang w:eastAsia="en-US"/>
              </w:rPr>
              <w:t xml:space="preserve">at </w:t>
            </w:r>
            <w:r w:rsidR="00370805" w:rsidRPr="00300FA5">
              <w:rPr>
                <w:rFonts w:eastAsia="Calibri"/>
                <w:lang w:eastAsia="en-US"/>
              </w:rPr>
              <w:t>6.5</w:t>
            </w:r>
            <w:r w:rsidR="0059312D" w:rsidRPr="00300FA5">
              <w:rPr>
                <w:rFonts w:eastAsia="Calibri"/>
                <w:lang w:eastAsia="en-US"/>
              </w:rPr>
              <w:t xml:space="preserve"> </w:t>
            </w:r>
            <w:r w:rsidR="00370805" w:rsidRPr="00300FA5">
              <w:rPr>
                <w:rFonts w:eastAsia="Calibri"/>
                <w:lang w:eastAsia="en-US"/>
              </w:rPr>
              <w:t xml:space="preserve">g </w:t>
            </w:r>
            <w:r w:rsidR="0059312D" w:rsidRPr="00300FA5">
              <w:rPr>
                <w:rFonts w:eastAsia="Calibri"/>
                <w:lang w:eastAsia="en-US"/>
              </w:rPr>
              <w:t>sodium benzoate</w:t>
            </w:r>
            <w:r w:rsidR="00370805" w:rsidRPr="00300FA5">
              <w:rPr>
                <w:rFonts w:eastAsia="Calibri"/>
                <w:lang w:eastAsia="en-US"/>
              </w:rPr>
              <w:t xml:space="preserve"> </w:t>
            </w:r>
            <w:r w:rsidR="00370805" w:rsidRPr="00300FA5">
              <w:rPr>
                <w:rFonts w:cs="Arial"/>
                <w:bCs/>
                <w:lang w:val="en-US"/>
              </w:rPr>
              <w:t xml:space="preserve"> per L matrix</w:t>
            </w:r>
            <w:r w:rsidR="0059312D" w:rsidRPr="00300FA5">
              <w:rPr>
                <w:rFonts w:eastAsia="Calibri"/>
                <w:lang w:eastAsia="en-US"/>
              </w:rPr>
              <w:t xml:space="preserve"> </w:t>
            </w:r>
            <w:r w:rsidR="000B5D37" w:rsidRPr="00300FA5">
              <w:rPr>
                <w:rFonts w:eastAsia="Calibri"/>
                <w:lang w:eastAsia="en-US"/>
              </w:rPr>
              <w:t>(log 4 reduction two days after each inoculation for</w:t>
            </w:r>
            <w:r w:rsidR="000B5D37">
              <w:rPr>
                <w:rFonts w:eastAsia="Calibri"/>
                <w:lang w:eastAsia="en-US"/>
              </w:rPr>
              <w:t xml:space="preserve"> four consecutive inoculations for bacteria and at least log 3 reduction at 7 days with no increase thereafter up to 28 days for yeasts and moulds), while in the formulation </w:t>
            </w:r>
            <w:r w:rsidR="00047C8C">
              <w:rPr>
                <w:rFonts w:eastAsia="Calibri"/>
                <w:lang w:eastAsia="en-US"/>
              </w:rPr>
              <w:t>containing</w:t>
            </w:r>
            <w:r w:rsidR="000B5D37">
              <w:rPr>
                <w:rFonts w:eastAsia="Calibri"/>
                <w:lang w:eastAsia="en-US"/>
              </w:rPr>
              <w:t xml:space="preserve"> 9.4% surfactant, only 1</w:t>
            </w:r>
            <w:r w:rsidR="00370805">
              <w:rPr>
                <w:rFonts w:eastAsia="Calibri"/>
                <w:lang w:eastAsia="en-US"/>
              </w:rPr>
              <w:t xml:space="preserve">0 g </w:t>
            </w:r>
            <w:r w:rsidR="000B5D37">
              <w:rPr>
                <w:rFonts w:eastAsia="Calibri"/>
                <w:lang w:eastAsia="en-US"/>
              </w:rPr>
              <w:t xml:space="preserve">sodium benzoate </w:t>
            </w:r>
            <w:r w:rsidR="00370805">
              <w:rPr>
                <w:rFonts w:eastAsia="Calibri"/>
                <w:lang w:eastAsia="en-US"/>
              </w:rPr>
              <w:t xml:space="preserve">per L matrix </w:t>
            </w:r>
            <w:r w:rsidR="000B5D37">
              <w:rPr>
                <w:rFonts w:eastAsia="Calibri"/>
                <w:lang w:eastAsia="en-US"/>
              </w:rPr>
              <w:t xml:space="preserve">was sufficiently efficacious in all tested strains. In the untreated samples of both formulations, no </w:t>
            </w:r>
            <w:r w:rsidR="004F469D">
              <w:rPr>
                <w:rFonts w:eastAsia="Calibri"/>
                <w:lang w:eastAsia="en-US"/>
              </w:rPr>
              <w:t xml:space="preserve">microbiological growth could be demonstrated and no </w:t>
            </w:r>
            <w:r w:rsidR="000B5D37">
              <w:rPr>
                <w:rFonts w:eastAsia="Calibri"/>
                <w:lang w:eastAsia="en-US"/>
              </w:rPr>
              <w:t>sufficient log reduction was observed in the samples inoculated with Gram-negative bacteria and mould (total viable counts &gt; 30000 CFU/mL</w:t>
            </w:r>
            <w:r w:rsidR="00EF35E9">
              <w:rPr>
                <w:rFonts w:eastAsia="Calibri"/>
                <w:lang w:eastAsia="en-US"/>
              </w:rPr>
              <w:t>) and</w:t>
            </w:r>
            <w:r w:rsidR="000B5D37">
              <w:rPr>
                <w:rFonts w:eastAsia="Calibri"/>
                <w:lang w:eastAsia="en-US"/>
              </w:rPr>
              <w:t xml:space="preserve"> no microbial growth was observed after inoculation with Gram-positive bacteria and yeasts (&lt; 50 and &lt; 100 CFU/mL, respectively). </w:t>
            </w:r>
            <w:r w:rsidR="00394E43" w:rsidRPr="009435D6">
              <w:rPr>
                <w:rFonts w:eastAsia="Calibri"/>
                <w:b/>
                <w:lang w:eastAsia="en-US"/>
              </w:rPr>
              <w:t>Th</w:t>
            </w:r>
            <w:r w:rsidR="009435D6" w:rsidRPr="009435D6">
              <w:rPr>
                <w:rFonts w:eastAsia="Calibri"/>
                <w:b/>
                <w:lang w:eastAsia="en-US"/>
              </w:rPr>
              <w:t>e</w:t>
            </w:r>
            <w:r w:rsidR="00394E43" w:rsidRPr="009435D6">
              <w:rPr>
                <w:rFonts w:eastAsia="Calibri"/>
                <w:b/>
                <w:lang w:eastAsia="en-US"/>
              </w:rPr>
              <w:t xml:space="preserve"> study </w:t>
            </w:r>
            <w:r w:rsidR="009435D6" w:rsidRPr="009435D6">
              <w:rPr>
                <w:rFonts w:eastAsia="Calibri"/>
                <w:b/>
                <w:lang w:eastAsia="en-US"/>
              </w:rPr>
              <w:t xml:space="preserve">of Jay and Ross, 2016 </w:t>
            </w:r>
            <w:r w:rsidR="00394E43" w:rsidRPr="009435D6">
              <w:rPr>
                <w:rFonts w:eastAsia="Calibri"/>
                <w:b/>
                <w:lang w:eastAsia="en-US"/>
              </w:rPr>
              <w:t xml:space="preserve">is considered </w:t>
            </w:r>
            <w:r w:rsidR="009435D6" w:rsidRPr="009435D6">
              <w:rPr>
                <w:rFonts w:eastAsia="Calibri"/>
                <w:b/>
                <w:lang w:eastAsia="en-US"/>
              </w:rPr>
              <w:t>in</w:t>
            </w:r>
            <w:r w:rsidR="00394E43" w:rsidRPr="009435D6">
              <w:rPr>
                <w:rFonts w:eastAsia="Calibri"/>
                <w:b/>
                <w:lang w:eastAsia="en-US"/>
              </w:rPr>
              <w:t xml:space="preserve">valid </w:t>
            </w:r>
            <w:r w:rsidR="00A80FE0" w:rsidRPr="009435D6">
              <w:rPr>
                <w:rFonts w:eastAsia="Calibri"/>
                <w:b/>
                <w:lang w:eastAsia="en-US"/>
              </w:rPr>
              <w:t xml:space="preserve">by RMS </w:t>
            </w:r>
            <w:r w:rsidR="00394E43" w:rsidRPr="009435D6">
              <w:rPr>
                <w:rFonts w:eastAsia="Calibri"/>
                <w:b/>
                <w:lang w:eastAsia="en-US"/>
              </w:rPr>
              <w:t>and therefore not used for authorisation.</w:t>
            </w:r>
          </w:p>
          <w:p w14:paraId="679DF5AC" w14:textId="77777777" w:rsidR="00CF59EF" w:rsidRDefault="000B5D37">
            <w:pPr>
              <w:spacing w:line="260" w:lineRule="atLeast"/>
              <w:rPr>
                <w:rFonts w:eastAsia="Calibri"/>
                <w:lang w:eastAsia="en-US"/>
              </w:rPr>
            </w:pPr>
            <w:r>
              <w:rPr>
                <w:rFonts w:eastAsia="Calibri"/>
                <w:lang w:eastAsia="en-US"/>
              </w:rPr>
              <w:t>In the study</w:t>
            </w:r>
            <w:r w:rsidR="009C54F3">
              <w:rPr>
                <w:rFonts w:eastAsia="Calibri"/>
                <w:lang w:eastAsia="en-US"/>
              </w:rPr>
              <w:t xml:space="preserve"> </w:t>
            </w:r>
            <w:r w:rsidR="000F4452">
              <w:rPr>
                <w:rFonts w:eastAsia="Calibri"/>
                <w:lang w:eastAsia="en-US"/>
              </w:rPr>
              <w:t xml:space="preserve">of </w:t>
            </w:r>
            <w:r>
              <w:rPr>
                <w:rFonts w:eastAsia="Calibri"/>
                <w:lang w:eastAsia="en-US"/>
              </w:rPr>
              <w:t xml:space="preserve">(Foster, 2016), performed according to the </w:t>
            </w:r>
            <w:proofErr w:type="spellStart"/>
            <w:r>
              <w:rPr>
                <w:rFonts w:eastAsia="Calibri"/>
                <w:lang w:eastAsia="en-US"/>
              </w:rPr>
              <w:t>Microconsult</w:t>
            </w:r>
            <w:proofErr w:type="spellEnd"/>
            <w:r>
              <w:rPr>
                <w:rFonts w:eastAsia="Calibri"/>
                <w:lang w:eastAsia="en-US"/>
              </w:rPr>
              <w:t xml:space="preserve"> Procedure MCP 010 based on United States Pharmacopoeia (USP) Method 51, a non-ionic surfactant formulation containing </w:t>
            </w:r>
            <w:r w:rsidR="00D764AF">
              <w:rPr>
                <w:rFonts w:eastAsia="Calibri"/>
                <w:lang w:eastAsia="en-US"/>
              </w:rPr>
              <w:t>5g</w:t>
            </w:r>
            <w:r>
              <w:rPr>
                <w:rFonts w:eastAsia="Calibri"/>
                <w:lang w:eastAsia="en-US"/>
              </w:rPr>
              <w:t xml:space="preserve"> sodium benzoate </w:t>
            </w:r>
            <w:r w:rsidR="00D764AF">
              <w:rPr>
                <w:rFonts w:eastAsia="Calibri"/>
                <w:lang w:eastAsia="en-US"/>
              </w:rPr>
              <w:t xml:space="preserve">per L matrix </w:t>
            </w:r>
            <w:r>
              <w:rPr>
                <w:rFonts w:eastAsia="Calibri"/>
                <w:lang w:eastAsia="en-US"/>
              </w:rPr>
              <w:t xml:space="preserve">was inoculated with 3 bacterial strains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w:t>
            </w:r>
            <w:r>
              <w:rPr>
                <w:rFonts w:eastAsia="Calibri"/>
                <w:i/>
                <w:lang w:eastAsia="en-US"/>
              </w:rPr>
              <w:t>P. aeruginosa</w:t>
            </w:r>
            <w:r>
              <w:rPr>
                <w:rFonts w:eastAsia="Calibri"/>
                <w:lang w:eastAsia="en-US"/>
              </w:rPr>
              <w:t xml:space="preserve">, yeast strain </w:t>
            </w:r>
            <w:r>
              <w:rPr>
                <w:rFonts w:eastAsia="Calibri"/>
                <w:i/>
                <w:lang w:eastAsia="en-US"/>
              </w:rPr>
              <w:t>C. albicans</w:t>
            </w:r>
            <w:r>
              <w:rPr>
                <w:rFonts w:eastAsia="Calibri"/>
                <w:lang w:eastAsia="en-US"/>
              </w:rPr>
              <w:t xml:space="preserve"> and </w:t>
            </w:r>
            <w:r w:rsidR="008A541E">
              <w:rPr>
                <w:rFonts w:eastAsia="Calibri"/>
                <w:lang w:eastAsia="en-US"/>
              </w:rPr>
              <w:t>fungi strain</w:t>
            </w:r>
            <w:r w:rsidR="009C54F3">
              <w:rPr>
                <w:rFonts w:eastAsia="Calibri"/>
                <w:lang w:eastAsia="en-US"/>
              </w:rPr>
              <w:t xml:space="preserve">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and the numbers of viable microorganisms were determined 14 and 28 days </w:t>
            </w:r>
            <w:r>
              <w:rPr>
                <w:rFonts w:eastAsia="Calibri"/>
                <w:lang w:eastAsia="en-US"/>
              </w:rPr>
              <w:lastRenderedPageBreak/>
              <w:t xml:space="preserve">past inoculation. The study also included an untreated control. In the samples preserved with </w:t>
            </w:r>
            <w:r w:rsidR="00D764AF">
              <w:rPr>
                <w:rFonts w:eastAsia="Calibri"/>
                <w:lang w:eastAsia="en-US"/>
              </w:rPr>
              <w:t xml:space="preserve">5g </w:t>
            </w:r>
            <w:r>
              <w:rPr>
                <w:rFonts w:eastAsia="Calibri"/>
                <w:lang w:eastAsia="en-US"/>
              </w:rPr>
              <w:t>sodium benzoate</w:t>
            </w:r>
            <w:r w:rsidR="00D764AF">
              <w:rPr>
                <w:rFonts w:eastAsia="Calibri"/>
                <w:lang w:eastAsia="en-US"/>
              </w:rPr>
              <w:t xml:space="preserve"> per L matrix</w:t>
            </w:r>
            <w:r>
              <w:rPr>
                <w:rFonts w:eastAsia="Calibri"/>
                <w:lang w:eastAsia="en-US"/>
              </w:rPr>
              <w:t>, a sufficient reduction in the total viable counts of microorganisms was demonstrated</w:t>
            </w:r>
            <w:r w:rsidR="00047C8C">
              <w:rPr>
                <w:rFonts w:eastAsia="Calibri"/>
                <w:lang w:eastAsia="en-US"/>
              </w:rPr>
              <w:t>.</w:t>
            </w:r>
            <w:r>
              <w:rPr>
                <w:rFonts w:eastAsia="Calibri"/>
                <w:lang w:eastAsia="en-US"/>
              </w:rPr>
              <w:t xml:space="preserve"> In the untreated controls, the microbial growth at 14 days past inoculation was demonstrated in the strains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and </w:t>
            </w:r>
            <w:r>
              <w:rPr>
                <w:rFonts w:eastAsia="Calibri"/>
                <w:i/>
                <w:lang w:eastAsia="en-US"/>
              </w:rPr>
              <w:t>P. aeruginosa</w:t>
            </w:r>
            <w:r>
              <w:rPr>
                <w:rFonts w:eastAsia="Calibri"/>
                <w:lang w:eastAsia="en-US"/>
              </w:rPr>
              <w:t xml:space="preserve">. A slight decrease in the number of viable organisms was observed in </w:t>
            </w:r>
            <w:r>
              <w:rPr>
                <w:rFonts w:eastAsia="Calibri"/>
                <w:i/>
                <w:lang w:eastAsia="en-US"/>
              </w:rPr>
              <w:t>C. albicans</w:t>
            </w:r>
            <w:r>
              <w:rPr>
                <w:rFonts w:eastAsia="Calibri"/>
                <w:lang w:eastAsia="en-US"/>
              </w:rPr>
              <w:t xml:space="preserve">, while in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a significant decrease in the number of viable microorganisms was observed (log reduction 2.66). </w:t>
            </w:r>
          </w:p>
          <w:p w14:paraId="31E6C285" w14:textId="77777777" w:rsidR="00CF59EF" w:rsidRPr="009C54F3" w:rsidRDefault="000B5D37">
            <w:pPr>
              <w:spacing w:line="260" w:lineRule="atLeast"/>
              <w:rPr>
                <w:rFonts w:eastAsia="Calibri"/>
                <w:lang w:eastAsia="en-US"/>
              </w:rPr>
            </w:pPr>
            <w:r>
              <w:rPr>
                <w:rFonts w:eastAsia="Calibri"/>
                <w:lang w:eastAsia="en-US"/>
              </w:rPr>
              <w:t xml:space="preserve">In the study </w:t>
            </w:r>
            <w:r w:rsidR="008A541E">
              <w:rPr>
                <w:rFonts w:eastAsia="Calibri"/>
                <w:lang w:eastAsia="en-US"/>
              </w:rPr>
              <w:t xml:space="preserve">of </w:t>
            </w:r>
            <w:r>
              <w:rPr>
                <w:rFonts w:eastAsia="Calibri"/>
                <w:lang w:eastAsia="en-US"/>
              </w:rPr>
              <w:t xml:space="preserve">(Foster, 2018), performed by the same method, sodium benzoate was tested at concentrations of </w:t>
            </w:r>
            <w:r w:rsidR="00D764AF">
              <w:rPr>
                <w:rFonts w:eastAsia="Calibri"/>
                <w:lang w:eastAsia="en-US"/>
              </w:rPr>
              <w:t>2.6g</w:t>
            </w:r>
            <w:r>
              <w:rPr>
                <w:rFonts w:eastAsia="Calibri"/>
                <w:lang w:eastAsia="en-US"/>
              </w:rPr>
              <w:t xml:space="preserve"> and </w:t>
            </w:r>
            <w:r w:rsidR="00D764AF">
              <w:rPr>
                <w:rFonts w:eastAsia="Calibri"/>
                <w:lang w:eastAsia="en-US"/>
              </w:rPr>
              <w:t>5g per L matrix</w:t>
            </w:r>
            <w:r>
              <w:rPr>
                <w:rFonts w:eastAsia="Calibri"/>
                <w:lang w:eastAsia="en-US"/>
              </w:rPr>
              <w:t xml:space="preserve"> against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w:t>
            </w:r>
            <w:r>
              <w:rPr>
                <w:rFonts w:eastAsia="Calibri"/>
                <w:i/>
                <w:lang w:eastAsia="en-US"/>
              </w:rPr>
              <w:t>P. aeruginosa</w:t>
            </w:r>
            <w:r>
              <w:rPr>
                <w:rFonts w:eastAsia="Calibri"/>
                <w:lang w:eastAsia="en-US"/>
              </w:rPr>
              <w:t xml:space="preserve">, </w:t>
            </w:r>
            <w:r>
              <w:rPr>
                <w:rFonts w:eastAsia="Calibri"/>
                <w:i/>
                <w:lang w:eastAsia="en-US"/>
              </w:rPr>
              <w:t>C. albicans</w:t>
            </w:r>
            <w:r>
              <w:rPr>
                <w:rFonts w:eastAsia="Calibri"/>
                <w:lang w:eastAsia="en-US"/>
              </w:rPr>
              <w:t xml:space="preserve"> and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The study also included an untreated control. On day 14 after inoculation, sodium benzoate at </w:t>
            </w:r>
            <w:r w:rsidR="00D764AF">
              <w:rPr>
                <w:rFonts w:eastAsia="Calibri"/>
                <w:lang w:eastAsia="en-US"/>
              </w:rPr>
              <w:t>2.6 g per L matrix</w:t>
            </w:r>
            <w:r>
              <w:rPr>
                <w:rFonts w:eastAsia="Calibri"/>
                <w:lang w:eastAsia="en-US"/>
              </w:rPr>
              <w:t xml:space="preserve"> was sufficiently efficacious against </w:t>
            </w:r>
            <w:r>
              <w:rPr>
                <w:rFonts w:eastAsia="Calibri"/>
                <w:i/>
                <w:lang w:eastAsia="en-US"/>
              </w:rPr>
              <w:t xml:space="preserve">S. aureus </w:t>
            </w:r>
            <w:r>
              <w:rPr>
                <w:rFonts w:eastAsia="Calibri"/>
                <w:lang w:eastAsia="en-US"/>
              </w:rPr>
              <w:t xml:space="preserve">and </w:t>
            </w:r>
            <w:r>
              <w:rPr>
                <w:rFonts w:eastAsia="Calibri"/>
                <w:i/>
                <w:lang w:eastAsia="en-US"/>
              </w:rPr>
              <w:t>P. aeruginosa</w:t>
            </w:r>
            <w:r>
              <w:rPr>
                <w:rFonts w:eastAsia="Calibri"/>
                <w:lang w:eastAsia="en-US"/>
              </w:rPr>
              <w:t xml:space="preserve"> (log reduction &gt; 4)</w:t>
            </w:r>
            <w:r w:rsidR="00CB6AF2">
              <w:rPr>
                <w:rFonts w:eastAsia="Calibri"/>
                <w:lang w:eastAsia="en-US"/>
              </w:rPr>
              <w:t xml:space="preserve"> </w:t>
            </w:r>
            <w:r w:rsidR="00047C8C">
              <w:rPr>
                <w:rFonts w:eastAsia="Calibri"/>
                <w:lang w:eastAsia="en-US"/>
              </w:rPr>
              <w:t>and it was efficacious again</w:t>
            </w:r>
            <w:r w:rsidR="00221EE3">
              <w:rPr>
                <w:rFonts w:eastAsia="Calibri"/>
                <w:lang w:eastAsia="en-US"/>
              </w:rPr>
              <w:t>s</w:t>
            </w:r>
            <w:r w:rsidR="00047C8C">
              <w:rPr>
                <w:rFonts w:eastAsia="Calibri"/>
                <w:lang w:eastAsia="en-US"/>
              </w:rPr>
              <w:t xml:space="preserve">t </w:t>
            </w:r>
            <w:r w:rsidR="00270133" w:rsidRPr="00270133">
              <w:rPr>
                <w:rFonts w:eastAsia="Calibri"/>
                <w:i/>
                <w:lang w:eastAsia="en-US"/>
              </w:rPr>
              <w:t>E. coli</w:t>
            </w:r>
            <w:r w:rsidR="00270133">
              <w:rPr>
                <w:rFonts w:eastAsia="Calibri"/>
                <w:lang w:eastAsia="en-US"/>
              </w:rPr>
              <w:t xml:space="preserve"> at </w:t>
            </w:r>
            <w:r w:rsidR="00D764AF">
              <w:rPr>
                <w:rFonts w:eastAsia="Calibri"/>
                <w:lang w:eastAsia="en-US"/>
              </w:rPr>
              <w:t>5g per L matrix</w:t>
            </w:r>
            <w:r w:rsidR="00047C8C">
              <w:rPr>
                <w:rFonts w:eastAsia="Calibri"/>
                <w:lang w:eastAsia="en-US"/>
              </w:rPr>
              <w:t>.</w:t>
            </w:r>
            <w:r>
              <w:rPr>
                <w:rFonts w:eastAsia="Calibri"/>
                <w:lang w:eastAsia="en-US"/>
              </w:rPr>
              <w:t xml:space="preserve"> At 28 days post-inoculation, sufficient log reduction was demonstrated in all strains, except of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This demonstrates that sodium benzoate is already </w:t>
            </w:r>
            <w:r w:rsidRPr="009C54F3">
              <w:rPr>
                <w:rFonts w:eastAsia="Calibri"/>
                <w:lang w:eastAsia="en-US"/>
              </w:rPr>
              <w:t xml:space="preserve">efficacious at concentration of </w:t>
            </w:r>
            <w:r w:rsidR="00D764AF" w:rsidRPr="009C54F3">
              <w:rPr>
                <w:rFonts w:eastAsia="Calibri"/>
                <w:lang w:eastAsia="en-US"/>
              </w:rPr>
              <w:t>5g per L matrix</w:t>
            </w:r>
            <w:r w:rsidRPr="009C54F3">
              <w:rPr>
                <w:rFonts w:eastAsia="Calibri"/>
                <w:lang w:eastAsia="en-US"/>
              </w:rPr>
              <w:t xml:space="preserve"> against bacteria and yeasts. </w:t>
            </w:r>
            <w:r w:rsidR="005E0D41">
              <w:rPr>
                <w:rFonts w:eastAsia="Calibri"/>
                <w:lang w:eastAsia="en-US"/>
              </w:rPr>
              <w:t>T</w:t>
            </w:r>
            <w:r w:rsidR="005E0D41" w:rsidRPr="005E0D41">
              <w:rPr>
                <w:rFonts w:eastAsia="Calibri"/>
                <w:lang w:eastAsia="en-US"/>
              </w:rPr>
              <w:t xml:space="preserve">he non-ionic surfactant matrix itself already caused suppression of </w:t>
            </w:r>
            <w:r w:rsidR="005E0D41" w:rsidRPr="005E0D41">
              <w:rPr>
                <w:rFonts w:eastAsia="Calibri"/>
                <w:i/>
                <w:lang w:eastAsia="en-US"/>
              </w:rPr>
              <w:t xml:space="preserve">A. </w:t>
            </w:r>
            <w:proofErr w:type="spellStart"/>
            <w:r w:rsidR="005E0D41" w:rsidRPr="005E0D41">
              <w:rPr>
                <w:rFonts w:eastAsia="Calibri"/>
                <w:i/>
                <w:lang w:eastAsia="en-US"/>
              </w:rPr>
              <w:t>brasiliensis</w:t>
            </w:r>
            <w:proofErr w:type="spellEnd"/>
            <w:r w:rsidR="005E0D41" w:rsidRPr="005E0D41">
              <w:rPr>
                <w:rFonts w:eastAsia="Calibri"/>
                <w:lang w:eastAsia="en-US"/>
              </w:rPr>
              <w:t xml:space="preserve"> growth</w:t>
            </w:r>
            <w:r w:rsidR="005E0D41">
              <w:rPr>
                <w:rFonts w:eastAsia="Calibri"/>
                <w:lang w:eastAsia="en-US"/>
              </w:rPr>
              <w:t>, but not of the other strains</w:t>
            </w:r>
            <w:r w:rsidR="00270133" w:rsidRPr="009C54F3">
              <w:rPr>
                <w:rFonts w:eastAsia="Calibri"/>
                <w:lang w:eastAsia="en-US"/>
              </w:rPr>
              <w:t xml:space="preserve">. </w:t>
            </w:r>
            <w:r w:rsidR="00777666">
              <w:rPr>
                <w:rFonts w:eastAsia="Calibri"/>
                <w:lang w:eastAsia="en-US"/>
              </w:rPr>
              <w:t>However, t</w:t>
            </w:r>
            <w:r w:rsidR="005E0D41">
              <w:rPr>
                <w:rFonts w:eastAsia="Calibri"/>
                <w:lang w:eastAsia="en-US"/>
              </w:rPr>
              <w:t xml:space="preserve">his suppression of </w:t>
            </w:r>
            <w:r w:rsidR="005E0D41" w:rsidRPr="005E0D41">
              <w:rPr>
                <w:rFonts w:eastAsia="Calibri"/>
                <w:i/>
                <w:lang w:eastAsia="en-US"/>
              </w:rPr>
              <w:t xml:space="preserve">A. </w:t>
            </w:r>
            <w:proofErr w:type="spellStart"/>
            <w:r w:rsidR="005E0D41" w:rsidRPr="005E0D41">
              <w:rPr>
                <w:rFonts w:eastAsia="Calibri"/>
                <w:i/>
                <w:lang w:eastAsia="en-US"/>
              </w:rPr>
              <w:t>brasiliensis</w:t>
            </w:r>
            <w:proofErr w:type="spellEnd"/>
            <w:r w:rsidR="00270133" w:rsidRPr="009C54F3">
              <w:rPr>
                <w:rFonts w:eastAsia="Calibri"/>
                <w:lang w:eastAsia="en-US"/>
              </w:rPr>
              <w:t xml:space="preserve"> is significantly further reduced at the sodium benzoate inclusion levels of </w:t>
            </w:r>
            <w:r w:rsidR="00656E00" w:rsidRPr="009C54F3">
              <w:rPr>
                <w:rFonts w:eastAsia="Calibri"/>
                <w:lang w:eastAsia="en-US"/>
              </w:rPr>
              <w:t>5g per L matrix</w:t>
            </w:r>
            <w:r w:rsidR="005E0D41">
              <w:rPr>
                <w:rFonts w:eastAsia="Calibri"/>
                <w:lang w:eastAsia="en-US"/>
              </w:rPr>
              <w:t>, with approximately an additional 600-fold or 2.8 log reduction compared to the untreated control</w:t>
            </w:r>
            <w:r w:rsidR="00656E00" w:rsidRPr="009C54F3">
              <w:rPr>
                <w:rFonts w:eastAsia="Calibri"/>
                <w:lang w:eastAsia="en-US"/>
              </w:rPr>
              <w:t>.</w:t>
            </w:r>
          </w:p>
          <w:p w14:paraId="7CC12588" w14:textId="77777777" w:rsidR="00CF59EF" w:rsidRPr="009C54F3" w:rsidRDefault="000B5D37">
            <w:pPr>
              <w:spacing w:line="260" w:lineRule="atLeast"/>
              <w:rPr>
                <w:rFonts w:eastAsia="Calibri"/>
                <w:lang w:eastAsia="en-US"/>
              </w:rPr>
            </w:pPr>
            <w:r w:rsidRPr="009C54F3">
              <w:rPr>
                <w:rFonts w:eastAsia="Calibri"/>
                <w:lang w:eastAsia="en-US"/>
              </w:rPr>
              <w:t xml:space="preserve">The overall composition of different types of liquid detergents is quite similar. They are usually water-based formulations and contain a surfactant as a major component, which is intended to remove soiling due to its amphiphilic properties. Further they may contain a number of additives, such as perfumes, dyes, builders to remove the hardness ions, pH controlling agents, viscosity controllers etc. Therefore efficacy results for sodium benzoate demonstrated in dishwashing liquids are considered to be applicable to other detergent matrices, such as laundry products and cleaners. </w:t>
            </w:r>
          </w:p>
          <w:p w14:paraId="18C9BB9C" w14:textId="77777777" w:rsidR="00CF59EF" w:rsidRPr="009C54F3" w:rsidRDefault="000B5D37">
            <w:pPr>
              <w:spacing w:line="260" w:lineRule="atLeast"/>
              <w:rPr>
                <w:rFonts w:eastAsia="Calibri"/>
                <w:lang w:eastAsia="en-US"/>
              </w:rPr>
            </w:pPr>
            <w:r w:rsidRPr="009C54F3">
              <w:rPr>
                <w:rFonts w:eastAsia="Calibri"/>
                <w:lang w:eastAsia="en-US"/>
              </w:rPr>
              <w:t xml:space="preserve">The chosen strains are routinely used in the testing of cosmetic preparations and are considered to be the most relevant in the testing of formulations intended for routine use by general public. </w:t>
            </w:r>
          </w:p>
          <w:p w14:paraId="0E2F040D" w14:textId="77777777" w:rsidR="00CF59EF" w:rsidRDefault="000B5D37">
            <w:pPr>
              <w:spacing w:line="260" w:lineRule="atLeast"/>
              <w:rPr>
                <w:rFonts w:eastAsia="Calibri"/>
                <w:lang w:eastAsia="en-US"/>
              </w:rPr>
            </w:pPr>
            <w:r w:rsidRPr="009C54F3">
              <w:rPr>
                <w:rFonts w:eastAsia="Calibri"/>
                <w:lang w:eastAsia="en-US"/>
              </w:rPr>
              <w:t xml:space="preserve">The efficacy of sodium benzoate was successfully </w:t>
            </w:r>
            <w:r w:rsidR="00047C8C" w:rsidRPr="009C54F3">
              <w:rPr>
                <w:rFonts w:eastAsia="Calibri"/>
                <w:lang w:eastAsia="en-US"/>
              </w:rPr>
              <w:t>demonstrated</w:t>
            </w:r>
            <w:r w:rsidRPr="009C54F3">
              <w:rPr>
                <w:rFonts w:eastAsia="Calibri"/>
                <w:lang w:eastAsia="en-US"/>
              </w:rPr>
              <w:t xml:space="preserve"> in the 28 days window. Considering sodium benzoate is a stable substance, which was demonstrated to remain stable for at least four years in a storage stability test, and considering the normal (i.e. indoors, room temperature, absence of direct sunlight etc.) expected storage conditions of the treated articles like dishwashing liquids, laundry products and cleaners, it can be expected with high amount of certainty that sodium benzoate shall remain efficacious during the whole shelf life of the treated articles.</w:t>
            </w:r>
            <w:r>
              <w:rPr>
                <w:rFonts w:eastAsia="Calibri"/>
                <w:lang w:eastAsia="en-US"/>
              </w:rPr>
              <w:t xml:space="preserve"> </w:t>
            </w:r>
          </w:p>
          <w:p w14:paraId="3CBB18ED" w14:textId="77777777" w:rsidR="00FA31CE" w:rsidRDefault="00FA31CE">
            <w:pPr>
              <w:spacing w:line="260" w:lineRule="atLeast"/>
              <w:rPr>
                <w:rFonts w:eastAsia="Calibri"/>
                <w:lang w:eastAsia="en-US"/>
              </w:rPr>
            </w:pPr>
          </w:p>
          <w:p w14:paraId="70B80A65" w14:textId="77777777" w:rsidR="00FA31CE" w:rsidRPr="00FA31CE" w:rsidRDefault="00FA31CE" w:rsidP="00FA31CE">
            <w:pPr>
              <w:spacing w:line="260" w:lineRule="atLeast"/>
              <w:rPr>
                <w:rFonts w:eastAsia="Calibri"/>
                <w:b/>
                <w:lang w:eastAsia="en-US"/>
              </w:rPr>
            </w:pPr>
            <w:r w:rsidRPr="00FA31CE">
              <w:rPr>
                <w:rFonts w:eastAsia="Calibri"/>
                <w:b/>
                <w:lang w:eastAsia="en-US"/>
              </w:rPr>
              <w:t xml:space="preserve">Based on the outcome of the RCOM the RMS decided to remove the claim against fungi from the general conclusion and authorised use. The claims against fungi have been removed from the SPC. This has been concluded because no data demonstrating fungal growth in the control studies have been provided. In addition CFU counts are unsuitable on a fundamental level for growth evaluation of filamentous fungi like </w:t>
            </w:r>
            <w:r w:rsidRPr="00FA31CE">
              <w:rPr>
                <w:rFonts w:eastAsia="Calibri"/>
                <w:b/>
                <w:i/>
                <w:lang w:eastAsia="en-US"/>
              </w:rPr>
              <w:t xml:space="preserve">A. </w:t>
            </w:r>
            <w:proofErr w:type="spellStart"/>
            <w:r w:rsidRPr="00FA31CE">
              <w:rPr>
                <w:rFonts w:eastAsia="Calibri"/>
                <w:b/>
                <w:i/>
                <w:lang w:eastAsia="en-US"/>
              </w:rPr>
              <w:t>brasiliensis</w:t>
            </w:r>
            <w:proofErr w:type="spellEnd"/>
            <w:r w:rsidRPr="00FA31CE">
              <w:rPr>
                <w:rFonts w:eastAsia="Calibri"/>
                <w:b/>
                <w:i/>
                <w:lang w:eastAsia="en-US"/>
              </w:rPr>
              <w:t>.</w:t>
            </w:r>
          </w:p>
        </w:tc>
      </w:tr>
    </w:tbl>
    <w:p w14:paraId="76444325" w14:textId="77777777" w:rsidR="00EB287D" w:rsidRDefault="00EB287D" w:rsidP="00EB287D">
      <w:bookmarkStart w:id="1394" w:name="_Toc403566570"/>
      <w:bookmarkStart w:id="1395" w:name="_Toc403472749"/>
      <w:bookmarkStart w:id="1396" w:name="_Toc389729040"/>
      <w:bookmarkStart w:id="1397" w:name="_Toc531868662"/>
      <w:bookmarkEnd w:id="1394"/>
      <w:bookmarkEnd w:id="1395"/>
      <w:bookmarkEnd w:id="1396"/>
    </w:p>
    <w:p w14:paraId="33D0EA10" w14:textId="77777777" w:rsidR="00CF59EF" w:rsidRPr="00EB287D" w:rsidRDefault="000B5D37" w:rsidP="00FD395A">
      <w:pPr>
        <w:pStyle w:val="Heading3"/>
        <w:rPr>
          <w:lang w:val="en-US"/>
        </w:rPr>
      </w:pPr>
      <w:r w:rsidRPr="00EB287D">
        <w:rPr>
          <w:lang w:val="en-US"/>
        </w:rPr>
        <w:t>Occurrence of resistance and resistance management</w:t>
      </w:r>
      <w:bookmarkEnd w:id="1397"/>
    </w:p>
    <w:p w14:paraId="70B038F5" w14:textId="77777777" w:rsidR="00CF59EF" w:rsidRDefault="000B5D37">
      <w:pPr>
        <w:spacing w:line="260" w:lineRule="atLeast"/>
        <w:rPr>
          <w:rFonts w:eastAsia="Calibri"/>
          <w:lang w:eastAsia="en-US"/>
        </w:rPr>
      </w:pPr>
      <w:r>
        <w:rPr>
          <w:rFonts w:eastAsia="Calibri"/>
          <w:lang w:eastAsia="en-US"/>
        </w:rPr>
        <w:t>Many publications are available that report about resistance of micro-organisms against benzoic acid, mainly in the context of food spoilage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0" w:history="1">
        <w:r w:rsidR="00661EC3" w:rsidRPr="00661EC3">
          <w:rPr>
            <w:rFonts w:eastAsia="Calibri"/>
            <w:lang w:eastAsia="en-US"/>
          </w:rPr>
          <w:t>https://echa.europa.eu/documents/10162/f294be47-85b0-428f-</w:t>
        </w:r>
        <w:r w:rsidR="00661EC3" w:rsidRPr="00661EC3">
          <w:rPr>
            <w:rFonts w:eastAsia="Calibri"/>
            <w:lang w:eastAsia="en-US"/>
          </w:rPr>
          <w:lastRenderedPageBreak/>
          <w:t>2d71-430ef809c7d3</w:t>
        </w:r>
      </w:hyperlink>
      <w:r>
        <w:rPr>
          <w:rFonts w:eastAsia="Calibri"/>
          <w:lang w:eastAsia="en-US"/>
        </w:rPr>
        <w:t>). A number of yeasts are known to be resistant to benzoates. It is suggested that the mechanism by which yeasts develop resistance to weak acidic antimicrobials, including benzoic acids, is related to membrane permeability and the ability of the cells to continuously pump antimicrobials out of the cell. Some micro-organisms on the other hand have innate resistance to benzoates because they metabolize the compounds. These bacteria and moulds degrade benzoic acid through either the ortho or the meta cleavage pathway. Few studies examine the potential for acquired resistance to benzoic acid in yeasts previously exposed to sub-inhibitory concentrations of benzoic acid. Pre-exposure to benzoic acid caused a 1.4 to 2.2 fold increase in MIC. The proposed resistance mechanism was increased cellular efflux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1" w:history="1">
        <w:r w:rsidR="00661EC3" w:rsidRPr="00661EC3">
          <w:rPr>
            <w:rFonts w:eastAsia="Calibri"/>
            <w:lang w:eastAsia="en-US"/>
          </w:rPr>
          <w:t>https://echa.europa.eu/documents/10162/f294be47-85b0-428f-2d71-430ef809c7d3</w:t>
        </w:r>
      </w:hyperlink>
      <w:r>
        <w:rPr>
          <w:rFonts w:eastAsia="Calibri"/>
          <w:lang w:eastAsia="en-US"/>
        </w:rPr>
        <w:t>). There was neither any evidence of indicating increased resistance due to mutation nor any evidence that the resistance was stable. Further, there is little or no evidence in the literature of acquired bacterial resistance to benzoic acid.</w:t>
      </w:r>
    </w:p>
    <w:p w14:paraId="33860458" w14:textId="77777777" w:rsidR="00CF59EF" w:rsidRDefault="00CF59EF">
      <w:pPr>
        <w:spacing w:line="260" w:lineRule="atLeast"/>
        <w:rPr>
          <w:rFonts w:eastAsia="Calibri"/>
          <w:lang w:eastAsia="en-US"/>
        </w:rPr>
      </w:pPr>
    </w:p>
    <w:p w14:paraId="376168D4" w14:textId="77777777" w:rsidR="00CF59EF" w:rsidRDefault="000B5D37">
      <w:pPr>
        <w:spacing w:line="260" w:lineRule="atLeast"/>
        <w:rPr>
          <w:rFonts w:ascii="Times New Roman" w:eastAsia="Calibri" w:hAnsi="Times New Roman"/>
          <w:i/>
          <w:iCs/>
          <w:lang w:eastAsia="en-US"/>
        </w:rPr>
      </w:pPr>
      <w:r>
        <w:rPr>
          <w:rFonts w:eastAsia="Calibri"/>
          <w:lang w:eastAsia="en-US"/>
        </w:rPr>
        <w:t>Considering the length of time that benzoic acid has been applied to food products as a food additive it would seem, however, that the development of acquired resistance by spoilage and micro-organisms is very rare or non-existent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2" w:history="1">
        <w:r w:rsidR="00661EC3" w:rsidRPr="00661EC3">
          <w:rPr>
            <w:rFonts w:eastAsia="Calibri"/>
            <w:lang w:eastAsia="en-US"/>
          </w:rPr>
          <w:t>https://echa.europa.eu/documents/10162/f294be47-85b0-428f-2d71-430ef809c7d3</w:t>
        </w:r>
      </w:hyperlink>
      <w:r>
        <w:rPr>
          <w:rFonts w:eastAsia="Calibri"/>
          <w:lang w:eastAsia="en-US"/>
        </w:rPr>
        <w:t>).</w:t>
      </w:r>
    </w:p>
    <w:p w14:paraId="2EFF6415" w14:textId="77777777" w:rsidR="00CF59EF" w:rsidRDefault="000B5D37" w:rsidP="00FD395A">
      <w:pPr>
        <w:pStyle w:val="Heading3"/>
      </w:pPr>
      <w:bookmarkStart w:id="1398" w:name="_Toc389729042"/>
      <w:bookmarkStart w:id="1399" w:name="_Toc389728684"/>
      <w:bookmarkStart w:id="1400" w:name="_Toc389728324"/>
      <w:bookmarkStart w:id="1401" w:name="_Toc389727965"/>
      <w:bookmarkStart w:id="1402" w:name="_Toc389727606"/>
      <w:bookmarkStart w:id="1403" w:name="_Toc389727248"/>
      <w:bookmarkStart w:id="1404" w:name="_Toc389726196"/>
      <w:bookmarkStart w:id="1405" w:name="_Toc389725204"/>
      <w:bookmarkStart w:id="1406" w:name="_Toc389729041"/>
      <w:bookmarkStart w:id="1407" w:name="_Toc389728683"/>
      <w:bookmarkStart w:id="1408" w:name="_Toc389728323"/>
      <w:bookmarkStart w:id="1409" w:name="_Toc389727964"/>
      <w:bookmarkStart w:id="1410" w:name="_Toc389727605"/>
      <w:bookmarkStart w:id="1411" w:name="_Toc389727247"/>
      <w:bookmarkStart w:id="1412" w:name="_Toc389726195"/>
      <w:bookmarkStart w:id="1413" w:name="_Toc389725203"/>
      <w:bookmarkStart w:id="1414" w:name="_Toc403566571"/>
      <w:bookmarkStart w:id="1415" w:name="_Toc403472750"/>
      <w:bookmarkStart w:id="1416" w:name="_Toc389729043"/>
      <w:bookmarkStart w:id="1417" w:name="_Toc531868663"/>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roofErr w:type="spellStart"/>
      <w:r>
        <w:t>Known</w:t>
      </w:r>
      <w:proofErr w:type="spellEnd"/>
      <w:r>
        <w:t xml:space="preserve"> </w:t>
      </w:r>
      <w:proofErr w:type="spellStart"/>
      <w:r>
        <w:t>limitations</w:t>
      </w:r>
      <w:bookmarkEnd w:id="1417"/>
      <w:proofErr w:type="spellEnd"/>
    </w:p>
    <w:p w14:paraId="16AF5605" w14:textId="77777777" w:rsidR="00CF59EF" w:rsidRDefault="000B5D37">
      <w:pPr>
        <w:spacing w:line="260" w:lineRule="atLeast"/>
        <w:rPr>
          <w:rFonts w:eastAsia="Calibri"/>
          <w:iCs/>
          <w:lang w:eastAsia="en-US"/>
        </w:rPr>
      </w:pPr>
      <w:r>
        <w:rPr>
          <w:rFonts w:eastAsia="Calibri"/>
          <w:iCs/>
          <w:lang w:eastAsia="en-US"/>
        </w:rPr>
        <w:t xml:space="preserve">The efficacy of </w:t>
      </w:r>
      <w:proofErr w:type="spellStart"/>
      <w:r>
        <w:rPr>
          <w:rFonts w:eastAsia="Calibri"/>
          <w:lang w:eastAsia="en-US"/>
        </w:rPr>
        <w:t>Kalaguard</w:t>
      </w:r>
      <w:proofErr w:type="spellEnd"/>
      <w:r>
        <w:rPr>
          <w:rFonts w:eastAsia="Calibri"/>
          <w:lang w:eastAsia="en-US"/>
        </w:rPr>
        <w:t xml:space="preserve">® SB </w:t>
      </w:r>
      <w:r>
        <w:rPr>
          <w:rFonts w:eastAsia="Calibri"/>
          <w:iCs/>
          <w:lang w:eastAsia="en-US"/>
        </w:rPr>
        <w:t xml:space="preserve">decreases at pH above 7. This is related to the fact that the ratio of protonated benzoic acid (which is considered to be the primary antimicrobial agent) to the benzoate ion decreases with the increasing </w:t>
      </w:r>
      <w:proofErr w:type="spellStart"/>
      <w:r>
        <w:rPr>
          <w:rFonts w:eastAsia="Calibri"/>
          <w:iCs/>
          <w:lang w:eastAsia="en-US"/>
        </w:rPr>
        <w:t>pH.</w:t>
      </w:r>
      <w:proofErr w:type="spellEnd"/>
      <w:r>
        <w:rPr>
          <w:rFonts w:eastAsia="Calibri"/>
          <w:iCs/>
          <w:lang w:eastAsia="en-US"/>
        </w:rPr>
        <w:t xml:space="preserve"> </w:t>
      </w:r>
    </w:p>
    <w:p w14:paraId="5F83AFDE" w14:textId="77777777" w:rsidR="00CF59EF" w:rsidRDefault="000B5D37" w:rsidP="00FD395A">
      <w:pPr>
        <w:pStyle w:val="Heading3"/>
      </w:pPr>
      <w:bookmarkStart w:id="1418" w:name="_Toc389729044"/>
      <w:bookmarkStart w:id="1419" w:name="_Toc389728686"/>
      <w:bookmarkStart w:id="1420" w:name="_Toc389728326"/>
      <w:bookmarkStart w:id="1421" w:name="_Toc389727967"/>
      <w:bookmarkStart w:id="1422" w:name="_Toc389727608"/>
      <w:bookmarkStart w:id="1423" w:name="_Toc389727250"/>
      <w:bookmarkStart w:id="1424" w:name="_Toc389726198"/>
      <w:bookmarkStart w:id="1425" w:name="_Toc389725206"/>
      <w:bookmarkStart w:id="1426" w:name="_Toc403566572"/>
      <w:bookmarkStart w:id="1427" w:name="_Toc403472751"/>
      <w:bookmarkStart w:id="1428" w:name="_Toc389729045"/>
      <w:bookmarkStart w:id="1429" w:name="_Toc531868664"/>
      <w:bookmarkEnd w:id="1418"/>
      <w:bookmarkEnd w:id="1419"/>
      <w:bookmarkEnd w:id="1420"/>
      <w:bookmarkEnd w:id="1421"/>
      <w:bookmarkEnd w:id="1422"/>
      <w:bookmarkEnd w:id="1423"/>
      <w:bookmarkEnd w:id="1424"/>
      <w:bookmarkEnd w:id="1425"/>
      <w:bookmarkEnd w:id="1426"/>
      <w:bookmarkEnd w:id="1427"/>
      <w:bookmarkEnd w:id="1428"/>
      <w:r>
        <w:t xml:space="preserve">Evaluation of </w:t>
      </w:r>
      <w:proofErr w:type="spellStart"/>
      <w:r>
        <w:t>the</w:t>
      </w:r>
      <w:proofErr w:type="spellEnd"/>
      <w:r>
        <w:t xml:space="preserve"> </w:t>
      </w:r>
      <w:proofErr w:type="spellStart"/>
      <w:r>
        <w:t>label</w:t>
      </w:r>
      <w:proofErr w:type="spellEnd"/>
      <w:r>
        <w:t xml:space="preserve"> </w:t>
      </w:r>
      <w:proofErr w:type="spellStart"/>
      <w:r>
        <w:t>claims</w:t>
      </w:r>
      <w:bookmarkEnd w:id="1429"/>
      <w:proofErr w:type="spellEnd"/>
    </w:p>
    <w:p w14:paraId="59FEBE60" w14:textId="77777777" w:rsidR="00CF59EF" w:rsidRDefault="000B5D37">
      <w:pPr>
        <w:spacing w:line="260" w:lineRule="atLeast"/>
        <w:jc w:val="both"/>
        <w:rPr>
          <w:rFonts w:eastAsia="Calibri" w:cs="Arial"/>
          <w:bCs/>
          <w:caps/>
          <w:szCs w:val="28"/>
          <w:lang w:eastAsia="en-US"/>
        </w:rPr>
      </w:pPr>
      <w:r>
        <w:rPr>
          <w:rFonts w:eastAsia="Calibri"/>
          <w:iCs/>
          <w:szCs w:val="24"/>
          <w:lang w:eastAsia="en-US"/>
        </w:rPr>
        <w:t xml:space="preserve">The efficacy of sodium benzoate as in-can preservative in detergents was successfully demonstrated against bacteria and yeasts. The substance was shown to be efficacious at concentrations </w:t>
      </w:r>
      <w:r w:rsidRPr="00F053B3">
        <w:rPr>
          <w:rFonts w:eastAsia="Calibri"/>
          <w:iCs/>
          <w:szCs w:val="24"/>
          <w:lang w:eastAsia="en-US"/>
        </w:rPr>
        <w:t>≥</w:t>
      </w:r>
      <w:r w:rsidR="00F053B3" w:rsidRPr="00017D8F">
        <w:t>5g</w:t>
      </w:r>
      <w:r w:rsidR="00F053B3" w:rsidRPr="00017D8F">
        <w:rPr>
          <w:rFonts w:cs="Arial"/>
          <w:bCs/>
          <w:lang w:val="en-US"/>
        </w:rPr>
        <w:t xml:space="preserve"> sodium benzoate</w:t>
      </w:r>
      <w:r w:rsidR="00F053B3">
        <w:rPr>
          <w:rFonts w:cs="Arial"/>
          <w:bCs/>
          <w:lang w:val="en-US"/>
        </w:rPr>
        <w:t xml:space="preserve"> per L matrix</w:t>
      </w:r>
      <w:r w:rsidR="00E44729">
        <w:rPr>
          <w:rFonts w:cs="Arial"/>
          <w:bCs/>
          <w:lang w:val="en-US"/>
        </w:rPr>
        <w:t xml:space="preserve"> </w:t>
      </w:r>
      <w:r w:rsidRPr="00F053B3">
        <w:rPr>
          <w:rFonts w:eastAsia="Calibri"/>
          <w:iCs/>
          <w:szCs w:val="24"/>
          <w:lang w:eastAsia="en-US"/>
        </w:rPr>
        <w:t xml:space="preserve">and pH </w:t>
      </w:r>
      <w:r w:rsidR="00FC68BD">
        <w:rPr>
          <w:rFonts w:eastAsia="Calibri"/>
          <w:iCs/>
          <w:szCs w:val="24"/>
          <w:lang w:eastAsia="en-US"/>
        </w:rPr>
        <w:t>5.5 -</w:t>
      </w:r>
      <w:r w:rsidRPr="00F053B3">
        <w:rPr>
          <w:rFonts w:eastAsia="Calibri"/>
          <w:iCs/>
          <w:szCs w:val="24"/>
          <w:lang w:eastAsia="en-US"/>
        </w:rPr>
        <w:t xml:space="preserve"> 5.</w:t>
      </w:r>
      <w:r w:rsidR="00884814">
        <w:rPr>
          <w:rFonts w:eastAsia="Calibri"/>
          <w:iCs/>
          <w:szCs w:val="24"/>
          <w:lang w:eastAsia="en-US"/>
        </w:rPr>
        <w:t>7</w:t>
      </w:r>
      <w:r w:rsidRPr="00F053B3">
        <w:rPr>
          <w:rFonts w:eastAsia="Calibri"/>
          <w:iCs/>
          <w:szCs w:val="24"/>
          <w:lang w:eastAsia="en-US"/>
        </w:rPr>
        <w:t xml:space="preserve">.  </w:t>
      </w:r>
    </w:p>
    <w:p w14:paraId="1CDA43D7" w14:textId="77777777" w:rsidR="00CF59EF" w:rsidRPr="00EB287D" w:rsidRDefault="000B5D37" w:rsidP="00FD395A">
      <w:pPr>
        <w:pStyle w:val="Heading3"/>
        <w:rPr>
          <w:lang w:val="en-US"/>
        </w:rPr>
      </w:pPr>
      <w:bookmarkStart w:id="1430" w:name="_Toc403566573"/>
      <w:bookmarkStart w:id="1431" w:name="_Toc403472752"/>
      <w:bookmarkStart w:id="1432" w:name="_Toc389729046"/>
      <w:bookmarkStart w:id="1433" w:name="_Toc531868665"/>
      <w:bookmarkEnd w:id="1430"/>
      <w:bookmarkEnd w:id="1431"/>
      <w:bookmarkEnd w:id="1432"/>
      <w:r w:rsidRPr="00EB287D">
        <w:rPr>
          <w:lang w:val="en-US"/>
        </w:rPr>
        <w:t xml:space="preserve">Relevant information if the product is intended to be </w:t>
      </w:r>
      <w:proofErr w:type="spellStart"/>
      <w:r w:rsidRPr="00EB287D">
        <w:rPr>
          <w:lang w:val="en-US"/>
        </w:rPr>
        <w:t>authorised</w:t>
      </w:r>
      <w:proofErr w:type="spellEnd"/>
      <w:r w:rsidRPr="00EB287D">
        <w:rPr>
          <w:lang w:val="en-US"/>
        </w:rPr>
        <w:t xml:space="preserve"> for use with other biocidal product(s)</w:t>
      </w:r>
      <w:bookmarkEnd w:id="1433"/>
    </w:p>
    <w:p w14:paraId="7C695636" w14:textId="77777777" w:rsidR="00CF59EF" w:rsidRDefault="000B5D37">
      <w:r>
        <w:t xml:space="preserve">The product is not intended to be used in combination with other products. </w:t>
      </w:r>
    </w:p>
    <w:p w14:paraId="701D3DEA" w14:textId="77777777" w:rsidR="00CF59EF" w:rsidRDefault="00CF59EF"/>
    <w:p w14:paraId="2CDD3438" w14:textId="77777777" w:rsidR="00172945" w:rsidRPr="00EB287D" w:rsidRDefault="00172945">
      <w:pPr>
        <w:rPr>
          <w:sz w:val="22"/>
          <w:lang w:val="en-US"/>
        </w:rPr>
      </w:pPr>
      <w:r>
        <w:br w:type="page"/>
      </w:r>
    </w:p>
    <w:p w14:paraId="3D2905B6" w14:textId="77777777" w:rsidR="00CF59EF" w:rsidRDefault="000B5D37" w:rsidP="00172945">
      <w:pPr>
        <w:pStyle w:val="Heading2"/>
        <w:numPr>
          <w:ilvl w:val="2"/>
          <w:numId w:val="2"/>
        </w:numPr>
        <w:ind w:left="720"/>
      </w:pPr>
      <w:bookmarkStart w:id="1434" w:name="_Toc403566564"/>
      <w:bookmarkStart w:id="1435" w:name="_Toc403472743"/>
      <w:bookmarkStart w:id="1436" w:name="_Toc389729032"/>
      <w:bookmarkStart w:id="1437" w:name="_Toc403566574"/>
      <w:bookmarkStart w:id="1438" w:name="_Toc389729047"/>
      <w:bookmarkStart w:id="1439" w:name="_Toc531868666"/>
      <w:bookmarkEnd w:id="1434"/>
      <w:bookmarkEnd w:id="1435"/>
      <w:bookmarkEnd w:id="1436"/>
      <w:bookmarkEnd w:id="1437"/>
      <w:bookmarkEnd w:id="1438"/>
      <w:r>
        <w:lastRenderedPageBreak/>
        <w:t>Risk assessment for human health</w:t>
      </w:r>
      <w:bookmarkEnd w:id="1439"/>
    </w:p>
    <w:p w14:paraId="69CCE7E3" w14:textId="77777777" w:rsidR="00CF59EF" w:rsidRPr="00EB287D" w:rsidRDefault="000B5D37" w:rsidP="00172945">
      <w:pPr>
        <w:pStyle w:val="Heading3"/>
        <w:rPr>
          <w:lang w:val="en-US"/>
        </w:rPr>
      </w:pPr>
      <w:bookmarkStart w:id="1440" w:name="_Toc388282977"/>
      <w:bookmarkStart w:id="1441" w:name="_Toc388282529"/>
      <w:bookmarkStart w:id="1442" w:name="_Toc388282047"/>
      <w:bookmarkStart w:id="1443" w:name="_Toc388281591"/>
      <w:bookmarkStart w:id="1444" w:name="_Toc403566575"/>
      <w:bookmarkStart w:id="1445" w:name="_Toc403472753"/>
      <w:bookmarkStart w:id="1446" w:name="_Toc389729048"/>
      <w:bookmarkStart w:id="1447" w:name="_Toc531868667"/>
      <w:bookmarkEnd w:id="1440"/>
      <w:bookmarkEnd w:id="1441"/>
      <w:bookmarkEnd w:id="1442"/>
      <w:bookmarkEnd w:id="1443"/>
      <w:r w:rsidRPr="00EB287D">
        <w:rPr>
          <w:lang w:val="en-US"/>
        </w:rPr>
        <w:t>Assessment of effects on Human Health</w:t>
      </w:r>
      <w:bookmarkEnd w:id="1444"/>
      <w:bookmarkEnd w:id="1445"/>
      <w:bookmarkEnd w:id="1446"/>
      <w:bookmarkEnd w:id="1447"/>
      <w:r w:rsidRPr="00EB287D">
        <w:rPr>
          <w:lang w:val="en-US"/>
        </w:rPr>
        <w:t xml:space="preserve"> </w:t>
      </w:r>
    </w:p>
    <w:p w14:paraId="74E8E852" w14:textId="77777777" w:rsidR="00CF59EF" w:rsidRDefault="000B5D37">
      <w:r>
        <w:t xml:space="preserve">The biocidal product  </w:t>
      </w:r>
      <w:proofErr w:type="spellStart"/>
      <w:r>
        <w:rPr>
          <w:rFonts w:eastAsia="Calibri"/>
          <w:lang w:eastAsia="en-US"/>
        </w:rPr>
        <w:t>Kalaguard</w:t>
      </w:r>
      <w:proofErr w:type="spellEnd"/>
      <w:r>
        <w:rPr>
          <w:rFonts w:eastAsia="Calibri"/>
          <w:lang w:eastAsia="en-US"/>
        </w:rPr>
        <w:t>® SB</w:t>
      </w:r>
      <w:r>
        <w:t xml:space="preserve"> is a 100% (w/w) formulation of sodium benzoate (&gt;99.99 (w/w) pure), thus the studies conducted with sodium benzoate are applicable for the biocidal product and vice versa. </w:t>
      </w:r>
      <w:r w:rsidR="006738CA">
        <w:t>T</w:t>
      </w:r>
      <w:r>
        <w:t xml:space="preserve">he terms “biocidal product” and “sodium benzoate” are used interchangeably. </w:t>
      </w:r>
    </w:p>
    <w:p w14:paraId="26259178" w14:textId="77777777" w:rsidR="00CF59EF" w:rsidRDefault="000B5D37">
      <w:r>
        <w:t xml:space="preserve">As sodium benzoate is included in Annex I as Category 1 substance (substances authorized as food additives according to Regulation (EC) No. 1333/2008), in accordance with Art. 19, point 1a, the biocidal products containing this active substance are eligible for authorization, providing other conditions of Article 19 are met. Substances included in Annex I are considered to be approved under the Biocidal Product Regulation (EU) no. 528/2012, </w:t>
      </w:r>
      <w:r w:rsidR="00472E8C">
        <w:t xml:space="preserve">however, </w:t>
      </w:r>
      <w:r>
        <w:t>no assessment</w:t>
      </w:r>
      <w:r w:rsidR="00472E8C">
        <w:t xml:space="preserve"> report</w:t>
      </w:r>
      <w:r>
        <w:t xml:space="preserve"> of such substances is </w:t>
      </w:r>
      <w:r w:rsidR="00472E8C">
        <w:t>available</w:t>
      </w:r>
      <w:r>
        <w:t xml:space="preserve">. </w:t>
      </w:r>
      <w:r w:rsidR="00472E8C">
        <w:t>Data on the active substance in according with th</w:t>
      </w:r>
      <w:r w:rsidR="006738CA">
        <w:t>e data requirements of Annex II</w:t>
      </w:r>
      <w:r w:rsidR="00472E8C">
        <w:t xml:space="preserve"> of Regulation (EU) No. 528/2012 were submitted where considered </w:t>
      </w:r>
      <w:bookmarkStart w:id="1448" w:name="_Toc388374325"/>
      <w:bookmarkStart w:id="1449" w:name="_Toc388285291"/>
      <w:bookmarkStart w:id="1450" w:name="_Toc388282979"/>
      <w:bookmarkStart w:id="1451" w:name="_Toc388282531"/>
      <w:bookmarkStart w:id="1452" w:name="_Toc388282049"/>
      <w:bookmarkStart w:id="1453" w:name="_Toc388281593"/>
      <w:bookmarkEnd w:id="1448"/>
      <w:bookmarkEnd w:id="1449"/>
      <w:bookmarkEnd w:id="1450"/>
      <w:bookmarkEnd w:id="1451"/>
      <w:bookmarkEnd w:id="1452"/>
      <w:bookmarkEnd w:id="1453"/>
      <w:r w:rsidR="00472E8C">
        <w:t>relevant.</w:t>
      </w:r>
    </w:p>
    <w:p w14:paraId="0A4A6FDB" w14:textId="77777777" w:rsidR="00472E8C" w:rsidRDefault="00472E8C"/>
    <w:p w14:paraId="64B1CE11" w14:textId="77777777" w:rsidR="00472E8C" w:rsidRPr="00472E8C" w:rsidRDefault="00472E8C"/>
    <w:p w14:paraId="143B5425" w14:textId="77777777" w:rsidR="00CF59EF" w:rsidRPr="00172945" w:rsidRDefault="000B5D37" w:rsidP="00172945">
      <w:pPr>
        <w:rPr>
          <w:rFonts w:eastAsia="Calibri"/>
          <w:b/>
          <w:i/>
          <w:sz w:val="22"/>
          <w:szCs w:val="22"/>
          <w:lang w:eastAsia="en-US"/>
        </w:rPr>
      </w:pPr>
      <w:bookmarkStart w:id="1454" w:name="_Toc403472754"/>
      <w:bookmarkStart w:id="1455" w:name="_Toc389729049"/>
      <w:bookmarkEnd w:id="1454"/>
      <w:bookmarkEnd w:id="1455"/>
      <w:r w:rsidRPr="00172945">
        <w:rPr>
          <w:rFonts w:eastAsia="Calibri"/>
          <w:b/>
          <w:i/>
          <w:sz w:val="22"/>
          <w:szCs w:val="22"/>
          <w:lang w:eastAsia="en-US"/>
        </w:rPr>
        <w:t>Skin corrosion and irritation</w:t>
      </w:r>
    </w:p>
    <w:p w14:paraId="4317CD7B" w14:textId="77777777" w:rsidR="00CF59EF" w:rsidRDefault="000B5D37">
      <w:pPr>
        <w:spacing w:line="260" w:lineRule="atLeast"/>
        <w:rPr>
          <w:rFonts w:eastAsia="Calibri"/>
          <w:iCs/>
          <w:lang w:eastAsia="en-US"/>
        </w:rPr>
      </w:pPr>
      <w:r>
        <w:rPr>
          <w:rFonts w:eastAsia="Calibri"/>
          <w:iCs/>
          <w:lang w:eastAsia="en-US"/>
        </w:rPr>
        <w:t xml:space="preserve">No </w:t>
      </w:r>
      <w:r>
        <w:rPr>
          <w:rFonts w:eastAsia="Calibri"/>
          <w:i/>
          <w:iCs/>
          <w:lang w:eastAsia="en-US"/>
        </w:rPr>
        <w:t>in vitro</w:t>
      </w:r>
      <w:r>
        <w:rPr>
          <w:rFonts w:eastAsia="Calibri"/>
          <w:iCs/>
          <w:lang w:eastAsia="en-US"/>
        </w:rPr>
        <w:t xml:space="preserve"> data are available. </w:t>
      </w:r>
    </w:p>
    <w:p w14:paraId="0332D0D0" w14:textId="77777777" w:rsidR="00CF59EF" w:rsidRDefault="00CF59EF">
      <w:pPr>
        <w:spacing w:line="260" w:lineRule="atLeast"/>
        <w:rPr>
          <w:rFonts w:ascii="Times New Roman" w:eastAsia="Calibri" w:hAnsi="Times New Roman"/>
          <w:i/>
          <w:iCs/>
          <w:lang w:eastAsia="en-US"/>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9"/>
        <w:gridCol w:w="1276"/>
        <w:gridCol w:w="1416"/>
        <w:gridCol w:w="2410"/>
        <w:gridCol w:w="1562"/>
        <w:gridCol w:w="1131"/>
      </w:tblGrid>
      <w:tr w:rsidR="00CF59EF" w14:paraId="32A4CEC9" w14:textId="77777777" w:rsidTr="00172945">
        <w:tc>
          <w:tcPr>
            <w:tcW w:w="9214" w:type="dxa"/>
            <w:gridSpan w:val="6"/>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F8168F8" w14:textId="77777777" w:rsidR="00CF59EF" w:rsidRDefault="000B5D37">
            <w:pPr>
              <w:spacing w:line="260" w:lineRule="atLeast"/>
              <w:jc w:val="center"/>
              <w:rPr>
                <w:rFonts w:eastAsia="Calibri"/>
                <w:b/>
                <w:highlight w:val="cyan"/>
                <w:lang w:eastAsia="en-US"/>
              </w:rPr>
            </w:pPr>
            <w:r>
              <w:rPr>
                <w:rFonts w:eastAsia="Calibri"/>
                <w:b/>
                <w:lang w:eastAsia="en-US"/>
              </w:rPr>
              <w:t>Summary table of animal studies on skin corrosion /irritation</w:t>
            </w:r>
          </w:p>
        </w:tc>
      </w:tr>
      <w:tr w:rsidR="00CF59EF" w:rsidRPr="00172945" w14:paraId="74BB0C47" w14:textId="77777777" w:rsidTr="00172945">
        <w:trPr>
          <w:trHeight w:val="2397"/>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9DB395" w14:textId="77777777" w:rsidR="00CF59EF" w:rsidRPr="00172945" w:rsidRDefault="000B5D37">
            <w:pPr>
              <w:keepNext/>
              <w:widowControl w:val="0"/>
              <w:tabs>
                <w:tab w:val="center" w:pos="4536"/>
                <w:tab w:val="right" w:pos="9072"/>
              </w:tabs>
              <w:spacing w:line="260" w:lineRule="atLeast"/>
              <w:rPr>
                <w:rFonts w:eastAsia="Calibri"/>
                <w:b/>
                <w:bCs/>
                <w:color w:val="000000"/>
                <w:sz w:val="16"/>
                <w:szCs w:val="16"/>
                <w:lang w:eastAsia="en-GB"/>
              </w:rPr>
            </w:pPr>
            <w:r w:rsidRPr="00172945">
              <w:rPr>
                <w:rFonts w:eastAsia="Calibri"/>
                <w:b/>
                <w:bCs/>
                <w:color w:val="000000"/>
                <w:sz w:val="16"/>
                <w:szCs w:val="16"/>
                <w:lang w:eastAsia="en-GB"/>
              </w:rPr>
              <w:t>Method,</w:t>
            </w:r>
            <w:r w:rsidRPr="00172945">
              <w:rPr>
                <w:rFonts w:eastAsia="Calibri"/>
                <w:b/>
                <w:bCs/>
                <w:color w:val="000000"/>
                <w:sz w:val="16"/>
                <w:szCs w:val="16"/>
                <w:lang w:eastAsia="en-GB"/>
              </w:rPr>
              <w:br/>
              <w:t xml:space="preserve">Guideline, </w:t>
            </w:r>
          </w:p>
          <w:p w14:paraId="77FF4EAA" w14:textId="77777777" w:rsidR="00CF59EF" w:rsidRPr="00172945" w:rsidRDefault="000B5D37">
            <w:pPr>
              <w:spacing w:line="260" w:lineRule="atLeast"/>
              <w:rPr>
                <w:rFonts w:eastAsia="Calibri"/>
                <w:sz w:val="16"/>
                <w:szCs w:val="16"/>
                <w:highlight w:val="cyan"/>
                <w:lang w:eastAsia="en-US"/>
              </w:rPr>
            </w:pPr>
            <w:r w:rsidRPr="00172945">
              <w:rPr>
                <w:rFonts w:eastAsia="Calibri"/>
                <w:b/>
                <w:bCs/>
                <w:color w:val="000000"/>
                <w:sz w:val="16"/>
                <w:szCs w:val="16"/>
                <w:lang w:eastAsia="en-GB"/>
              </w:rPr>
              <w:t>GLP status, Reliability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9D38F" w14:textId="77777777" w:rsidR="00CF59EF" w:rsidRPr="00172945" w:rsidRDefault="000B5D37">
            <w:pPr>
              <w:spacing w:line="260" w:lineRule="atLeast"/>
              <w:rPr>
                <w:rFonts w:eastAsia="Calibri"/>
                <w:b/>
                <w:sz w:val="16"/>
                <w:szCs w:val="16"/>
                <w:highlight w:val="cyan"/>
                <w:lang w:eastAsia="en-US"/>
              </w:rPr>
            </w:pPr>
            <w:r w:rsidRPr="00172945">
              <w:rPr>
                <w:rFonts w:eastAsia="Calibri"/>
                <w:b/>
                <w:sz w:val="16"/>
                <w:szCs w:val="16"/>
                <w:lang w:eastAsia="en-US"/>
              </w:rPr>
              <w:t>Species,</w:t>
            </w:r>
            <w:r w:rsidRPr="00172945">
              <w:rPr>
                <w:rFonts w:eastAsia="Calibri"/>
                <w:b/>
                <w:sz w:val="16"/>
                <w:szCs w:val="16"/>
                <w:lang w:eastAsia="en-US"/>
              </w:rPr>
              <w:br/>
              <w:t>Strain,</w:t>
            </w:r>
            <w:r w:rsidRPr="00172945">
              <w:rPr>
                <w:rFonts w:eastAsia="Calibri"/>
                <w:b/>
                <w:sz w:val="16"/>
                <w:szCs w:val="16"/>
                <w:lang w:eastAsia="en-US"/>
              </w:rPr>
              <w:br/>
              <w:t>Sex,</w:t>
            </w:r>
            <w:r w:rsidRPr="00172945">
              <w:rPr>
                <w:rFonts w:eastAsia="Calibri"/>
                <w:b/>
                <w:sz w:val="16"/>
                <w:szCs w:val="16"/>
                <w:lang w:eastAsia="en-US"/>
              </w:rPr>
              <w:br/>
              <w:t>No/group</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5DBE9" w14:textId="77777777"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Test substance, Vehicle, Dose levels, </w:t>
            </w:r>
            <w:r w:rsidRPr="00172945">
              <w:rPr>
                <w:rFonts w:eastAsia="Calibri"/>
                <w:b/>
                <w:sz w:val="16"/>
                <w:szCs w:val="16"/>
                <w:lang w:eastAsia="en-US"/>
              </w:rPr>
              <w:br/>
              <w:t>Duration of exposure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22DA6" w14:textId="77777777"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Results</w:t>
            </w:r>
          </w:p>
          <w:p w14:paraId="775DEF06" w14:textId="77777777"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Average score</w:t>
            </w:r>
            <w:r w:rsidRPr="00172945">
              <w:rPr>
                <w:rFonts w:eastAsia="Calibri"/>
                <w:b/>
                <w:sz w:val="16"/>
                <w:szCs w:val="16"/>
                <w:lang w:eastAsia="en-US"/>
              </w:rPr>
              <w:t xml:space="preserve"> </w:t>
            </w:r>
            <w:r w:rsidRPr="00172945">
              <w:rPr>
                <w:rFonts w:eastAsia="Calibri"/>
                <w:i/>
                <w:sz w:val="16"/>
                <w:szCs w:val="16"/>
                <w:lang w:eastAsia="en-US"/>
              </w:rPr>
              <w:t>(24, 48, 72h)/</w:t>
            </w:r>
          </w:p>
          <w:p w14:paraId="69A7C272" w14:textId="77777777"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observations and time point of onset,  reversibility; other adverse local / systemic effects,  histopathological</w:t>
            </w:r>
          </w:p>
          <w:p w14:paraId="63DB86A0" w14:textId="77777777"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findings</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C88196" w14:textId="77777777"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Remarks </w:t>
            </w:r>
            <w:r w:rsidRPr="00172945">
              <w:rPr>
                <w:rFonts w:eastAsia="Calibri"/>
                <w:i/>
                <w:sz w:val="16"/>
                <w:szCs w:val="16"/>
                <w:lang w:eastAsia="en-US"/>
              </w:rPr>
              <w:t>(e.g. major deviations)</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0530C" w14:textId="77777777"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Reference </w:t>
            </w:r>
          </w:p>
          <w:p w14:paraId="0D1EE16F" w14:textId="77777777" w:rsidR="00CF59EF" w:rsidRPr="00172945" w:rsidRDefault="00CF59EF">
            <w:pPr>
              <w:spacing w:line="260" w:lineRule="atLeast"/>
              <w:rPr>
                <w:rFonts w:eastAsia="Calibri"/>
                <w:b/>
                <w:sz w:val="16"/>
                <w:szCs w:val="16"/>
                <w:lang w:eastAsia="en-US"/>
              </w:rPr>
            </w:pPr>
          </w:p>
        </w:tc>
      </w:tr>
      <w:tr w:rsidR="00CF59EF" w:rsidRPr="00172945" w14:paraId="51D7296A" w14:textId="77777777" w:rsidTr="00172945">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2FF65"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OECD Guideline 404, EU Method B.4, GLP, reliability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CAC6B"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Rabbit, New Zealand White, females, 3/group</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F5FD6"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Sodium benzoate, unchanged (no vehicle), 0.5 g </w:t>
            </w:r>
          </w:p>
          <w:p w14:paraId="575C5BD9"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4 hours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C7C23"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Average of 3 animals at 24, 48 and 72 hours:</w:t>
            </w:r>
          </w:p>
          <w:p w14:paraId="6472F832"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Erythema: 0</w:t>
            </w:r>
          </w:p>
          <w:p w14:paraId="29A879D2"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Oedema: 0</w:t>
            </w:r>
          </w:p>
          <w:p w14:paraId="3F563718" w14:textId="77777777" w:rsidR="00CF59EF" w:rsidRPr="00172945" w:rsidRDefault="00CF59EF">
            <w:pPr>
              <w:keepNext/>
              <w:widowControl w:val="0"/>
              <w:tabs>
                <w:tab w:val="center" w:pos="4536"/>
                <w:tab w:val="right" w:pos="9072"/>
              </w:tabs>
              <w:spacing w:line="276" w:lineRule="auto"/>
              <w:rPr>
                <w:rFonts w:eastAsia="Calibri"/>
                <w:color w:val="000000"/>
                <w:sz w:val="16"/>
                <w:szCs w:val="16"/>
                <w:lang w:eastAsia="en-GB"/>
              </w:rPr>
            </w:pPr>
          </w:p>
          <w:p w14:paraId="698C6A55"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Weak erythema (score 1) was observed in 1 of the animals, which was fully reversible after 24 hours. </w:t>
            </w:r>
          </w:p>
          <w:p w14:paraId="4AD83E2F" w14:textId="77777777" w:rsidR="00CF59EF" w:rsidRPr="00172945" w:rsidRDefault="00CF59EF">
            <w:pPr>
              <w:keepNext/>
              <w:widowControl w:val="0"/>
              <w:tabs>
                <w:tab w:val="center" w:pos="4536"/>
                <w:tab w:val="right" w:pos="9072"/>
              </w:tabs>
              <w:spacing w:line="276" w:lineRule="auto"/>
              <w:rPr>
                <w:rFonts w:eastAsia="Calibri"/>
                <w:color w:val="000000"/>
                <w:sz w:val="16"/>
                <w:szCs w:val="16"/>
                <w:lang w:eastAsia="en-GB"/>
              </w:rPr>
            </w:pPr>
          </w:p>
          <w:p w14:paraId="64D65BDA"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No signs of systemic toxicity or mortality occurred. </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8E9EAD"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Observation period was 72 hours; however, in view of the absence of skin reactions this is considered acceptable. </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A1C95" w14:textId="77777777" w:rsidR="00CF59EF" w:rsidRPr="00172945" w:rsidRDefault="000B5D37">
            <w:pPr>
              <w:keepNext/>
              <w:widowControl w:val="0"/>
              <w:tabs>
                <w:tab w:val="center" w:pos="4536"/>
                <w:tab w:val="right" w:pos="9072"/>
              </w:tabs>
              <w:spacing w:line="276" w:lineRule="auto"/>
              <w:rPr>
                <w:rFonts w:eastAsia="Calibri"/>
                <w:color w:val="000000"/>
                <w:sz w:val="16"/>
                <w:szCs w:val="16"/>
                <w:lang w:val="nl-NL" w:eastAsia="en-GB"/>
              </w:rPr>
            </w:pPr>
            <w:r w:rsidRPr="00172945">
              <w:rPr>
                <w:rFonts w:eastAsia="Calibri"/>
                <w:color w:val="000000"/>
                <w:sz w:val="16"/>
                <w:szCs w:val="16"/>
                <w:lang w:val="nl-NL" w:eastAsia="en-GB"/>
              </w:rPr>
              <w:t>2.2.6.1-1 (</w:t>
            </w:r>
            <w:proofErr w:type="spellStart"/>
            <w:r w:rsidR="005D5483" w:rsidRPr="002F4C58">
              <w:rPr>
                <w:rFonts w:eastAsia="Calibri"/>
                <w:highlight w:val="black"/>
              </w:rPr>
              <w:t>xxxxx</w:t>
            </w:r>
            <w:proofErr w:type="spellEnd"/>
            <w:r w:rsidRPr="00172945">
              <w:rPr>
                <w:rFonts w:eastAsia="Calibri"/>
                <w:color w:val="000000"/>
                <w:sz w:val="16"/>
                <w:szCs w:val="16"/>
                <w:lang w:val="nl-NL" w:eastAsia="en-GB"/>
              </w:rPr>
              <w:t>)</w:t>
            </w:r>
          </w:p>
        </w:tc>
      </w:tr>
    </w:tbl>
    <w:p w14:paraId="465CA492" w14:textId="77777777" w:rsidR="00CF59EF" w:rsidRDefault="00CF59EF">
      <w:pPr>
        <w:spacing w:line="260" w:lineRule="atLeast"/>
        <w:rPr>
          <w:rFonts w:eastAsia="Calibri"/>
          <w:lang w:val="nl-NL" w:eastAsia="en-US"/>
        </w:rPr>
      </w:pPr>
    </w:p>
    <w:p w14:paraId="6B223F71" w14:textId="77777777" w:rsidR="00CF59EF" w:rsidRDefault="000B5D37">
      <w:pPr>
        <w:spacing w:line="260" w:lineRule="atLeast"/>
        <w:rPr>
          <w:rFonts w:eastAsia="Calibri"/>
          <w:lang w:eastAsia="en-US"/>
        </w:rPr>
      </w:pPr>
      <w:r>
        <w:rPr>
          <w:rFonts w:eastAsia="Calibri"/>
          <w:lang w:eastAsia="en-US"/>
        </w:rPr>
        <w:t xml:space="preserve">No human data are available. </w:t>
      </w:r>
    </w:p>
    <w:p w14:paraId="1BE8BA0E" w14:textId="77777777" w:rsidR="00172945" w:rsidRDefault="00172945">
      <w:pPr>
        <w:spacing w:line="260" w:lineRule="atLeast"/>
        <w:rPr>
          <w:rFonts w:eastAsia="Calibri"/>
          <w:lang w:eastAsia="en-US"/>
        </w:rPr>
      </w:pPr>
    </w:p>
    <w:p w14:paraId="4A36630F" w14:textId="77777777" w:rsidR="00172945" w:rsidRDefault="00172945">
      <w:pPr>
        <w:spacing w:line="260" w:lineRule="atLeast"/>
        <w:rPr>
          <w:rFonts w:eastAsia="Calibri"/>
          <w:lang w:eastAsia="en-US"/>
        </w:rPr>
      </w:pPr>
    </w:p>
    <w:p w14:paraId="2383043A" w14:textId="77777777" w:rsidR="00CF59EF" w:rsidRDefault="00CF59EF">
      <w:pPr>
        <w:spacing w:line="260" w:lineRule="atLeast"/>
        <w:rPr>
          <w:rFonts w:ascii="Times New Roman" w:eastAsia="Calibri" w:hAnsi="Times New Roman"/>
          <w:i/>
          <w:i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14:paraId="39B06094"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7445ED60" w14:textId="77777777" w:rsidR="00CF59EF" w:rsidRDefault="000B5D37">
            <w:pPr>
              <w:spacing w:line="260" w:lineRule="atLeast"/>
              <w:rPr>
                <w:rFonts w:eastAsia="Calibri"/>
                <w:b/>
                <w:bCs/>
                <w:lang w:eastAsia="en-US"/>
              </w:rPr>
            </w:pPr>
            <w:r>
              <w:rPr>
                <w:rFonts w:eastAsia="Calibri"/>
                <w:b/>
                <w:bCs/>
                <w:lang w:eastAsia="en-US"/>
              </w:rPr>
              <w:t>Conclusion used in Risk Assessment – Skin corrosion and irritation</w:t>
            </w:r>
          </w:p>
        </w:tc>
      </w:tr>
      <w:tr w:rsidR="00CF59EF" w14:paraId="51A44D93" w14:textId="77777777">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E75EC67" w14:textId="77777777"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4CFAEEB4" w14:textId="77777777" w:rsidR="00CF59EF" w:rsidRDefault="000B5D37">
            <w:pPr>
              <w:spacing w:line="260" w:lineRule="atLeast"/>
              <w:rPr>
                <w:rFonts w:eastAsia="Calibri"/>
                <w:lang w:eastAsia="en-US"/>
              </w:rPr>
            </w:pPr>
            <w:r>
              <w:rPr>
                <w:rFonts w:eastAsia="Calibri"/>
                <w:lang w:eastAsia="en-US"/>
              </w:rPr>
              <w:t>Not irritating</w:t>
            </w:r>
          </w:p>
        </w:tc>
      </w:tr>
      <w:tr w:rsidR="00CF59EF" w14:paraId="2683ED84"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2740E69B" w14:textId="77777777"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7FDB98DA" w14:textId="77777777" w:rsidR="00CF59EF" w:rsidRDefault="000B5D37">
            <w:pPr>
              <w:spacing w:line="260" w:lineRule="atLeast"/>
              <w:rPr>
                <w:rFonts w:eastAsia="Calibri"/>
                <w:lang w:eastAsia="en-US"/>
              </w:rPr>
            </w:pPr>
            <w:r>
              <w:rPr>
                <w:rFonts w:eastAsia="Calibri"/>
                <w:lang w:eastAsia="en-US"/>
              </w:rPr>
              <w:t xml:space="preserve">No skin irritation was observed in a reliable guideline study with rabbits. </w:t>
            </w:r>
          </w:p>
        </w:tc>
      </w:tr>
      <w:tr w:rsidR="00CF59EF" w14:paraId="6F457BBF"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2E3BA06B" w14:textId="77777777" w:rsidR="00CF59EF" w:rsidRDefault="000B5D37">
            <w:pPr>
              <w:spacing w:line="260" w:lineRule="atLeast"/>
              <w:rPr>
                <w:rFonts w:eastAsia="Calibri"/>
                <w:lang w:eastAsia="en-US"/>
              </w:rPr>
            </w:pPr>
            <w:r>
              <w:rPr>
                <w:rFonts w:eastAsia="Calibri"/>
                <w:lang w:eastAsia="en-US"/>
              </w:rPr>
              <w:lastRenderedPageBreak/>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4085FCF1" w14:textId="77777777" w:rsidR="00CF59EF" w:rsidRDefault="000B5D37">
            <w:pPr>
              <w:spacing w:line="260" w:lineRule="atLeast"/>
              <w:rPr>
                <w:rFonts w:eastAsia="Calibri"/>
                <w:lang w:eastAsia="en-US"/>
              </w:rPr>
            </w:pPr>
            <w:r>
              <w:rPr>
                <w:rFonts w:eastAsia="Calibri"/>
                <w:lang w:eastAsia="en-US"/>
              </w:rPr>
              <w:t>Not classified</w:t>
            </w:r>
          </w:p>
        </w:tc>
      </w:tr>
    </w:tbl>
    <w:p w14:paraId="57A93231" w14:textId="77777777" w:rsidR="00CF59EF" w:rsidRDefault="00CF59EF">
      <w:pPr>
        <w:spacing w:line="260" w:lineRule="atLeast"/>
        <w:rPr>
          <w:rFonts w:eastAsia="Calibri"/>
          <w:lang w:eastAsia="en-US"/>
        </w:rPr>
      </w:pPr>
    </w:p>
    <w:p w14:paraId="10F7598C" w14:textId="77777777" w:rsidR="00D63C31" w:rsidRDefault="00D63C31">
      <w:pPr>
        <w:spacing w:line="260" w:lineRule="atLeast"/>
        <w:rPr>
          <w:rFonts w:eastAsia="Calibri"/>
          <w:lang w:eastAsia="en-US"/>
        </w:rPr>
      </w:pPr>
      <w:r w:rsidRPr="004248D6">
        <w:rPr>
          <w:rFonts w:eastAsia="Calibri"/>
          <w:noProof/>
          <w:lang w:val="nl-NL" w:eastAsia="nl-NL"/>
        </w:rPr>
        <w:lastRenderedPageBreak/>
        <mc:AlternateContent>
          <mc:Choice Requires="wps">
            <w:drawing>
              <wp:inline distT="0" distB="0" distL="0" distR="0" wp14:anchorId="270800D6" wp14:editId="7914DADE">
                <wp:extent cx="5850255" cy="1422986"/>
                <wp:effectExtent l="0" t="0" r="17145" b="1524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22986"/>
                        </a:xfrm>
                        <a:prstGeom prst="rect">
                          <a:avLst/>
                        </a:prstGeom>
                        <a:solidFill>
                          <a:schemeClr val="bg1">
                            <a:lumMod val="85000"/>
                          </a:schemeClr>
                        </a:solidFill>
                        <a:ln w="9525">
                          <a:solidFill>
                            <a:srgbClr val="000000"/>
                          </a:solidFill>
                          <a:miter lim="800000"/>
                          <a:headEnd/>
                          <a:tailEnd/>
                        </a:ln>
                      </wps:spPr>
                      <wps:txbx>
                        <w:txbxContent>
                          <w:p w14:paraId="1E73AD90" w14:textId="77777777" w:rsidR="00980D14" w:rsidRPr="006342A2" w:rsidRDefault="00980D14" w:rsidP="00D63C31">
                            <w:pPr>
                              <w:rPr>
                                <w:lang w:val="en-US"/>
                              </w:rPr>
                            </w:pPr>
                            <w:r>
                              <w:t xml:space="preserve">NL CA remark: It was pointed out by a refMS that the negative results from animal study is not sufficient. In the RAC opinion </w:t>
                            </w:r>
                            <w:r w:rsidRPr="00D63C31">
                              <w:t xml:space="preserve">on benzoic acid (25.11.2012) “industry representative considered Skin Irrit. 2 (H315) not to be justified because benzoic acid does not show skin irritating properties in any available animal studies according to EC or OECD guidelines.” However, RAC decided for Skin Irrit. 2, H315 based on human data. </w:t>
                            </w:r>
                            <w:r>
                              <w:t>The ref MS DE considered, a</w:t>
                            </w:r>
                            <w:r w:rsidRPr="00D63C31">
                              <w:t xml:space="preserve">s the data basis is comparable to that of sodium benzoate </w:t>
                            </w:r>
                            <w:r>
                              <w:t>t</w:t>
                            </w:r>
                            <w:r w:rsidRPr="00D63C31">
                              <w:t>he same classification should be the result.</w:t>
                            </w:r>
                            <w:r w:rsidRPr="006342A2">
                              <w:t xml:space="preserve"> </w:t>
                            </w:r>
                            <w:r>
                              <w:t>The refMS has considered that</w:t>
                            </w:r>
                            <w:r w:rsidRPr="006342A2">
                              <w:t xml:space="preserve"> if read-across from benzoic acid to sodium benzoate is accepted, benzoic acid could be proposed for sodium benzoate</w:t>
                            </w:r>
                            <w:r>
                              <w:t>, also considering human evidence and induction of pseudoallergic reaction of sodium benzoate</w:t>
                            </w:r>
                            <w:r w:rsidRPr="006342A2">
                              <w:t>.</w:t>
                            </w:r>
                          </w:p>
                          <w:p w14:paraId="56D63B76" w14:textId="77777777" w:rsidR="00980D14" w:rsidRPr="006342A2" w:rsidRDefault="00980D14" w:rsidP="00D63C31">
                            <w:pPr>
                              <w:rPr>
                                <w:lang w:val="en-US"/>
                              </w:rPr>
                            </w:pPr>
                          </w:p>
                          <w:p w14:paraId="73B40903" w14:textId="77777777" w:rsidR="00980D14" w:rsidRDefault="00980D14" w:rsidP="00D63C31">
                            <w:pPr>
                              <w:rPr>
                                <w:lang w:val="en-US"/>
                              </w:rPr>
                            </w:pPr>
                            <w:r>
                              <w:t xml:space="preserve">However, NL CA has concluded H315 is not required for sodium benzoate. </w:t>
                            </w:r>
                            <w:r w:rsidRPr="00D63C31">
                              <w:rPr>
                                <w:lang w:val="en-US"/>
                              </w:rPr>
                              <w:t xml:space="preserve">Sodium benzoate dissociates to benzoic acid in aqueous form, and both sodium benzoate and benzoic acid are present as benzoate anion when it is dissolved in water. It is reasonable to consider that the two substances share many common health effects and thus read-across is possible for systemic effects,. However, possible deviations from benzoic acid should be examined with care for local effects, as the exposure is to the undissolved form. </w:t>
                            </w:r>
                            <w:r>
                              <w:rPr>
                                <w:lang w:val="en-US"/>
                              </w:rPr>
                              <w:t>The</w:t>
                            </w:r>
                            <w:r w:rsidRPr="00D63C31">
                              <w:rPr>
                                <w:lang w:val="en-US"/>
                              </w:rPr>
                              <w:t xml:space="preserve"> conclusion of non-classification of H315 for sodium benzoate was drawn by considering if the ground for classification of H315 for benzoic acid "Based on the positive results in human skin irritation studies and the underlying non-immunogenic irritant and inflammatory mechanism" (</w:t>
                            </w:r>
                            <w:r>
                              <w:rPr>
                                <w:lang w:val="en-US"/>
                              </w:rPr>
                              <w:t xml:space="preserve">the </w:t>
                            </w:r>
                            <w:r w:rsidRPr="00D63C31">
                              <w:rPr>
                                <w:lang w:val="en-US"/>
                              </w:rPr>
                              <w:t>CLH report, benzoic acid) is applicable for sodium benzoate.</w:t>
                            </w:r>
                          </w:p>
                          <w:p w14:paraId="5CCAAE8D" w14:textId="77777777" w:rsidR="00980D14" w:rsidRPr="00D63C31" w:rsidRDefault="00980D14" w:rsidP="00D63C31">
                            <w:pPr>
                              <w:rPr>
                                <w:lang w:val="en-US"/>
                              </w:rPr>
                            </w:pPr>
                          </w:p>
                          <w:p w14:paraId="669737CE" w14:textId="77777777" w:rsidR="00980D14" w:rsidRPr="00D63C31" w:rsidRDefault="00980D14" w:rsidP="00D63C31">
                            <w:pPr>
                              <w:rPr>
                                <w:lang w:val="en-US"/>
                              </w:rPr>
                            </w:pPr>
                            <w:r w:rsidRPr="00D63C31">
                              <w:rPr>
                                <w:lang w:val="en-US"/>
                              </w:rPr>
                              <w:t>1. Underling non-immunogenic irritant and inflammatory mechanism</w:t>
                            </w:r>
                          </w:p>
                          <w:p w14:paraId="5244B8D8" w14:textId="77777777" w:rsidR="00980D14" w:rsidRDefault="00980D14" w:rsidP="00D63C31">
                            <w:pPr>
                              <w:rPr>
                                <w:lang w:val="en-US"/>
                              </w:rPr>
                            </w:pPr>
                            <w:r w:rsidRPr="00D63C31">
                              <w:rPr>
                                <w:lang w:val="en-US"/>
                              </w:rPr>
                              <w:t xml:space="preserve">According to the CLH report, “benzoic acid and its salts are capable of causing non-immune immediate contact reactions (NIICR) and non immunogenic contact urticarial (NICR), also known as peudoallergy”. </w:t>
                            </w:r>
                            <w:r>
                              <w:rPr>
                                <w:lang w:val="en-US"/>
                              </w:rPr>
                              <w:t>NL CA follows</w:t>
                            </w:r>
                            <w:r w:rsidRPr="00D63C31">
                              <w:rPr>
                                <w:lang w:val="en-US"/>
                              </w:rPr>
                              <w:t xml:space="preserve"> this conclusion of the CLH report that sodium benzoate may cause NIICR and NICR, which per definition are considered irritant reactions.</w:t>
                            </w:r>
                          </w:p>
                          <w:p w14:paraId="31741C99" w14:textId="77777777" w:rsidR="00980D14" w:rsidRPr="00D63C31" w:rsidRDefault="00980D14" w:rsidP="00D63C31">
                            <w:pPr>
                              <w:rPr>
                                <w:lang w:val="en-US"/>
                              </w:rPr>
                            </w:pPr>
                          </w:p>
                          <w:p w14:paraId="4E79E329" w14:textId="77777777" w:rsidR="00980D14" w:rsidRPr="00D63C31" w:rsidRDefault="00980D14" w:rsidP="00D63C31">
                            <w:pPr>
                              <w:rPr>
                                <w:lang w:val="en-US"/>
                              </w:rPr>
                            </w:pPr>
                            <w:r w:rsidRPr="00D63C31">
                              <w:rPr>
                                <w:lang w:val="en-US"/>
                              </w:rPr>
                              <w:t>2. Positive results in human skin irritation studies</w:t>
                            </w:r>
                          </w:p>
                          <w:p w14:paraId="350C83F9" w14:textId="77777777" w:rsidR="00980D14" w:rsidRPr="00D63C31" w:rsidRDefault="00980D14" w:rsidP="00D63C31">
                            <w:pPr>
                              <w:rPr>
                                <w:lang w:val="en-US"/>
                              </w:rPr>
                            </w:pPr>
                            <w:r w:rsidRPr="00D63C31">
                              <w:rPr>
                                <w:lang w:val="en-US"/>
                              </w:rPr>
                              <w:t xml:space="preserve">For benzoic acid, there are many studies available with positive skin irritation reactions as listed in the CLH report (Table 5-9). For instance, </w:t>
                            </w:r>
                            <w:r w:rsidRPr="002F4C58">
                              <w:rPr>
                                <w:rFonts w:eastAsia="Calibri"/>
                                <w:highlight w:val="black"/>
                              </w:rPr>
                              <w:t>xxxxx</w:t>
                            </w:r>
                            <w:r w:rsidRPr="00D63C31">
                              <w:rPr>
                                <w:lang w:val="en-US"/>
                              </w:rPr>
                              <w:t xml:space="preserve"> showed a considerable proportion of healthy volunteers reacted to benzoic acid diluted in petrolatum: 73.5% with erythema and 12.5% with oedema at 125 mM (ca 1.5% dilution), and 78.5% with erythema and 18% with oedema at 500 mM (ca. 6% dilution). </w:t>
                            </w:r>
                          </w:p>
                          <w:p w14:paraId="3C2FA666" w14:textId="77777777" w:rsidR="00980D14" w:rsidRDefault="00980D14" w:rsidP="00D63C31">
                            <w:pPr>
                              <w:rPr>
                                <w:lang w:val="en-US"/>
                              </w:rPr>
                            </w:pPr>
                            <w:r w:rsidRPr="00D63C31">
                              <w:rPr>
                                <w:lang w:val="en-US"/>
                              </w:rPr>
                              <w:t>For sodium benzoate there are only two human studies presented in the CLH report: One study (</w:t>
                            </w:r>
                            <w:r w:rsidRPr="002F4C58">
                              <w:rPr>
                                <w:rFonts w:eastAsia="Calibri"/>
                                <w:highlight w:val="black"/>
                              </w:rPr>
                              <w:t>xxxxx</w:t>
                            </w:r>
                            <w:r w:rsidRPr="00D63C31">
                              <w:rPr>
                                <w:lang w:val="en-US"/>
                              </w:rPr>
                              <w:t>) is with dermatoses patients, and another one (</w:t>
                            </w:r>
                            <w:r w:rsidRPr="002F4C58">
                              <w:rPr>
                                <w:rFonts w:eastAsia="Calibri"/>
                                <w:highlight w:val="black"/>
                              </w:rPr>
                              <w:t>xxxxx</w:t>
                            </w:r>
                            <w:r w:rsidRPr="00D63C31">
                              <w:rPr>
                                <w:lang w:val="en-US"/>
                              </w:rPr>
                              <w:t xml:space="preserve">) is with urticarial patients. No study for healthy population is available. In the study by </w:t>
                            </w:r>
                            <w:r w:rsidRPr="002F4C58">
                              <w:rPr>
                                <w:rFonts w:eastAsia="Calibri"/>
                                <w:highlight w:val="black"/>
                              </w:rPr>
                              <w:t>xxxxx</w:t>
                            </w:r>
                            <w:r w:rsidRPr="00D63C31">
                              <w:rPr>
                                <w:lang w:val="en-US"/>
                              </w:rPr>
                              <w:t xml:space="preserve"> dermatoses patients were exposed to 5% sodium benzoate diluted in petrolatum. The exposure level of 5% and solvent used are comparable to the study used by </w:t>
                            </w:r>
                            <w:r w:rsidRPr="002F4C58">
                              <w:rPr>
                                <w:rFonts w:eastAsia="Calibri"/>
                                <w:highlight w:val="black"/>
                              </w:rPr>
                              <w:t>xxxxx</w:t>
                            </w:r>
                            <w:r w:rsidRPr="00D63C31">
                              <w:rPr>
                                <w:lang w:val="en-US"/>
                              </w:rPr>
                              <w:t xml:space="preserve"> for benzoic acid. In the study by Brasch only 0.2% of the tested patients showed skin irritation, indicates that sodium benzoate the irritant potency is much weaker than benzoic acid, if there is any. The second study by Warin showed that 11% (12/111) of patients showed positive result, after they are exposed to 50 or 500 mg sodium benzoate.  However, the number of subjects is small and no healthy population was tested. Overall, the NL CA considered that these human data is not sufficient to assign H315 skin irritant for sodium benzoate.</w:t>
                            </w:r>
                          </w:p>
                          <w:p w14:paraId="0B0F60B6" w14:textId="77777777" w:rsidR="00980D14" w:rsidRPr="00D63C31" w:rsidRDefault="00980D14" w:rsidP="00D63C31">
                            <w:pPr>
                              <w:rPr>
                                <w:lang w:val="en-US"/>
                              </w:rPr>
                            </w:pPr>
                          </w:p>
                          <w:p w14:paraId="67FDEECC" w14:textId="77777777" w:rsidR="00980D14" w:rsidRPr="00D63C31" w:rsidRDefault="00980D14" w:rsidP="00D63C31">
                            <w:pPr>
                              <w:rPr>
                                <w:lang w:val="en-US"/>
                              </w:rPr>
                            </w:pPr>
                            <w:r w:rsidRPr="00D63C31">
                              <w:rPr>
                                <w:lang w:val="en-US"/>
                              </w:rPr>
                              <w:t>3. The previous conclusions from authorities</w:t>
                            </w:r>
                          </w:p>
                          <w:p w14:paraId="13BEE94B" w14:textId="77777777" w:rsidR="00980D14" w:rsidRDefault="00980D14" w:rsidP="00D63C31">
                            <w:pPr>
                              <w:rPr>
                                <w:lang w:val="en-US"/>
                              </w:rPr>
                            </w:pPr>
                            <w:r w:rsidRPr="00D63C31">
                              <w:rPr>
                                <w:lang w:val="en-US"/>
                              </w:rPr>
                              <w:t>The conclusion that sodium benzoate is not irritating to skin was reached by a number of authorities, including OECD SIDS (SIDS Initial Assessment Report on benzoates, 2001), WHO CICAD (2000) and Scientific Committee on Consumer Products (2005).</w:t>
                            </w:r>
                          </w:p>
                          <w:p w14:paraId="1E08AC47" w14:textId="77777777" w:rsidR="00980D14" w:rsidRDefault="00980D14" w:rsidP="00D63C31">
                            <w:pPr>
                              <w:rPr>
                                <w:lang w:val="en-US"/>
                              </w:rPr>
                            </w:pPr>
                          </w:p>
                          <w:p w14:paraId="4DC5E4F4" w14:textId="77777777" w:rsidR="00980D14" w:rsidRPr="004248D6" w:rsidRDefault="00980D14" w:rsidP="00D63C31">
                            <w:pPr>
                              <w:rPr>
                                <w:lang w:val="en-US"/>
                              </w:rPr>
                            </w:pPr>
                            <w:r>
                              <w:t>Based on WoE, NL CA has concluded H315 is not required for sodium benzoate, thus not for the biocidal product.</w:t>
                            </w:r>
                          </w:p>
                        </w:txbxContent>
                      </wps:txbx>
                      <wps:bodyPr rot="0" vert="horz" wrap="square" lIns="91440" tIns="45720" rIns="91440" bIns="45720" anchor="t" anchorCtr="0">
                        <a:spAutoFit/>
                      </wps:bodyPr>
                    </wps:wsp>
                  </a:graphicData>
                </a:graphic>
              </wp:inline>
            </w:drawing>
          </mc:Choice>
          <mc:Fallback>
            <w:pict>
              <v:shapetype w14:anchorId="270800D6" id="_x0000_t202" coordsize="21600,21600" o:spt="202" path="m,l,21600r21600,l21600,xe">
                <v:stroke joinstyle="miter"/>
                <v:path gradientshapeok="t" o:connecttype="rect"/>
              </v:shapetype>
              <v:shape id="Tekstvak 2" o:spid="_x0000_s1026" type="#_x0000_t202" style="width:460.6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" fillcolor="#d8d8d8 [2732]">
                <v:textbox style="mso-fit-shape-to-text:t">
                  <w:txbxContent>
                    <w:p w14:paraId="1E73AD90" w14:textId="77777777" w:rsidR="00980D14" w:rsidRPr="006342A2" w:rsidRDefault="00980D14" w:rsidP="00D63C31">
                      <w:pPr>
                        <w:rPr>
                          <w:lang w:val="en-US"/>
                        </w:rPr>
                      </w:pPr>
                      <w:r>
                        <w:t xml:space="preserve">NL CA remark: It was pointed out by a refMS that the negative results from animal study is not sufficient. In the RAC opinion </w:t>
                      </w:r>
                      <w:r w:rsidRPr="00D63C31">
                        <w:t xml:space="preserve">on benzoic acid (25.11.2012) “industry representative considered Skin Irrit. 2 (H315) not to be justified because benzoic acid does not show skin irritating properties in any available animal studies according to EC or OECD guidelines.” However, RAC decided for Skin Irrit. 2, H315 based on human data. </w:t>
                      </w:r>
                      <w:r>
                        <w:t>The ref MS DE considered, a</w:t>
                      </w:r>
                      <w:r w:rsidRPr="00D63C31">
                        <w:t xml:space="preserve">s the data basis is comparable to that of sodium benzoate </w:t>
                      </w:r>
                      <w:r>
                        <w:t>t</w:t>
                      </w:r>
                      <w:r w:rsidRPr="00D63C31">
                        <w:t>he same classification should be the result.</w:t>
                      </w:r>
                      <w:r w:rsidRPr="006342A2">
                        <w:t xml:space="preserve"> </w:t>
                      </w:r>
                      <w:r>
                        <w:t>The refMS has considered that</w:t>
                      </w:r>
                      <w:r w:rsidRPr="006342A2">
                        <w:t xml:space="preserve"> if read-across from benzoic acid to sodium benzoate is accepted, benzoic acid could be proposed for sodium benzoate</w:t>
                      </w:r>
                      <w:r>
                        <w:t>, also considering human evidence and induction of pseudoallergic reaction of sodium benzoate</w:t>
                      </w:r>
                      <w:r w:rsidRPr="006342A2">
                        <w:t>.</w:t>
                      </w:r>
                    </w:p>
                    <w:p w14:paraId="56D63B76" w14:textId="77777777" w:rsidR="00980D14" w:rsidRPr="006342A2" w:rsidRDefault="00980D14" w:rsidP="00D63C31">
                      <w:pPr>
                        <w:rPr>
                          <w:lang w:val="en-US"/>
                        </w:rPr>
                      </w:pPr>
                    </w:p>
                    <w:p w14:paraId="73B40903" w14:textId="77777777" w:rsidR="00980D14" w:rsidRDefault="00980D14" w:rsidP="00D63C31">
                      <w:pPr>
                        <w:rPr>
                          <w:lang w:val="en-US"/>
                        </w:rPr>
                      </w:pPr>
                      <w:r>
                        <w:t xml:space="preserve">However, NL CA has concluded H315 is not required for sodium benzoate. </w:t>
                      </w:r>
                      <w:r w:rsidRPr="00D63C31">
                        <w:rPr>
                          <w:lang w:val="en-US"/>
                        </w:rPr>
                        <w:t xml:space="preserve">Sodium benzoate dissociates to benzoic acid in aqueous form, and both sodium benzoate and benzoic acid are present as benzoate anion when it is dissolved in water. It is reasonable to consider that the two substances share many common health effects and thus read-across is possible for systemic effects,. However, possible deviations from benzoic acid should be examined with care for local effects, as the exposure is to the undissolved form. </w:t>
                      </w:r>
                      <w:r>
                        <w:rPr>
                          <w:lang w:val="en-US"/>
                        </w:rPr>
                        <w:t>The</w:t>
                      </w:r>
                      <w:r w:rsidRPr="00D63C31">
                        <w:rPr>
                          <w:lang w:val="en-US"/>
                        </w:rPr>
                        <w:t xml:space="preserve"> conclusion of non-classification of H315 for sodium benzoate was drawn by considering if the ground for classification of H315 for benzoic acid "Based on the positive results in human skin irritation studies and the underlying non-immunogenic irritant and inflammatory mechanism" (</w:t>
                      </w:r>
                      <w:r>
                        <w:rPr>
                          <w:lang w:val="en-US"/>
                        </w:rPr>
                        <w:t xml:space="preserve">the </w:t>
                      </w:r>
                      <w:r w:rsidRPr="00D63C31">
                        <w:rPr>
                          <w:lang w:val="en-US"/>
                        </w:rPr>
                        <w:t>CLH report, benzoic acid) is applicable for sodium benzoate.</w:t>
                      </w:r>
                    </w:p>
                    <w:p w14:paraId="5CCAAE8D" w14:textId="77777777" w:rsidR="00980D14" w:rsidRPr="00D63C31" w:rsidRDefault="00980D14" w:rsidP="00D63C31">
                      <w:pPr>
                        <w:rPr>
                          <w:lang w:val="en-US"/>
                        </w:rPr>
                      </w:pPr>
                    </w:p>
                    <w:p w14:paraId="669737CE" w14:textId="77777777" w:rsidR="00980D14" w:rsidRPr="00D63C31" w:rsidRDefault="00980D14" w:rsidP="00D63C31">
                      <w:pPr>
                        <w:rPr>
                          <w:lang w:val="en-US"/>
                        </w:rPr>
                      </w:pPr>
                      <w:r w:rsidRPr="00D63C31">
                        <w:rPr>
                          <w:lang w:val="en-US"/>
                        </w:rPr>
                        <w:t>1. Underling non-immunogenic irritant and inflammatory mechanism</w:t>
                      </w:r>
                    </w:p>
                    <w:p w14:paraId="5244B8D8" w14:textId="77777777" w:rsidR="00980D14" w:rsidRDefault="00980D14" w:rsidP="00D63C31">
                      <w:pPr>
                        <w:rPr>
                          <w:lang w:val="en-US"/>
                        </w:rPr>
                      </w:pPr>
                      <w:r w:rsidRPr="00D63C31">
                        <w:rPr>
                          <w:lang w:val="en-US"/>
                        </w:rPr>
                        <w:t xml:space="preserve">According to the CLH report, “benzoic acid and its salts are capable of causing non-immune immediate contact reactions (NIICR) and non immunogenic contact urticarial (NICR), also known as peudoallergy”. </w:t>
                      </w:r>
                      <w:r>
                        <w:rPr>
                          <w:lang w:val="en-US"/>
                        </w:rPr>
                        <w:t>NL CA follows</w:t>
                      </w:r>
                      <w:r w:rsidRPr="00D63C31">
                        <w:rPr>
                          <w:lang w:val="en-US"/>
                        </w:rPr>
                        <w:t xml:space="preserve"> this conclusion of the CLH report that sodium benzoate may cause NIICR and NICR, which per definition are considered irritant reactions.</w:t>
                      </w:r>
                    </w:p>
                    <w:p w14:paraId="31741C99" w14:textId="77777777" w:rsidR="00980D14" w:rsidRPr="00D63C31" w:rsidRDefault="00980D14" w:rsidP="00D63C31">
                      <w:pPr>
                        <w:rPr>
                          <w:lang w:val="en-US"/>
                        </w:rPr>
                      </w:pPr>
                    </w:p>
                    <w:p w14:paraId="4E79E329" w14:textId="77777777" w:rsidR="00980D14" w:rsidRPr="00D63C31" w:rsidRDefault="00980D14" w:rsidP="00D63C31">
                      <w:pPr>
                        <w:rPr>
                          <w:lang w:val="en-US"/>
                        </w:rPr>
                      </w:pPr>
                      <w:r w:rsidRPr="00D63C31">
                        <w:rPr>
                          <w:lang w:val="en-US"/>
                        </w:rPr>
                        <w:t>2. Positive results in human skin irritation studies</w:t>
                      </w:r>
                    </w:p>
                    <w:p w14:paraId="350C83F9" w14:textId="77777777" w:rsidR="00980D14" w:rsidRPr="00D63C31" w:rsidRDefault="00980D14" w:rsidP="00D63C31">
                      <w:pPr>
                        <w:rPr>
                          <w:lang w:val="en-US"/>
                        </w:rPr>
                      </w:pPr>
                      <w:r w:rsidRPr="00D63C31">
                        <w:rPr>
                          <w:lang w:val="en-US"/>
                        </w:rPr>
                        <w:t xml:space="preserve">For benzoic acid, there are many studies available with positive skin irritation reactions as listed in the CLH report (Table 5-9). For instance, </w:t>
                      </w:r>
                      <w:r w:rsidRPr="002F4C58">
                        <w:rPr>
                          <w:rFonts w:eastAsia="Calibri"/>
                          <w:highlight w:val="black"/>
                        </w:rPr>
                        <w:t>xxxxx</w:t>
                      </w:r>
                      <w:r w:rsidRPr="00D63C31">
                        <w:rPr>
                          <w:lang w:val="en-US"/>
                        </w:rPr>
                        <w:t xml:space="preserve"> showed a considerable proportion of healthy volunteers reacted to benzoic acid diluted in petrolatum: 73.5% with erythema and 12.5% with oedema at 125 mM (ca 1.5% dilution), and 78.5% with erythema and 18% with oedema at 500 mM (ca. 6% dilution). </w:t>
                      </w:r>
                    </w:p>
                    <w:p w14:paraId="3C2FA666" w14:textId="77777777" w:rsidR="00980D14" w:rsidRDefault="00980D14" w:rsidP="00D63C31">
                      <w:pPr>
                        <w:rPr>
                          <w:lang w:val="en-US"/>
                        </w:rPr>
                      </w:pPr>
                      <w:r w:rsidRPr="00D63C31">
                        <w:rPr>
                          <w:lang w:val="en-US"/>
                        </w:rPr>
                        <w:t>For sodium benzoate there are only two human studies presented in the CLH report: One study (</w:t>
                      </w:r>
                      <w:r w:rsidRPr="002F4C58">
                        <w:rPr>
                          <w:rFonts w:eastAsia="Calibri"/>
                          <w:highlight w:val="black"/>
                        </w:rPr>
                        <w:t>xxxxx</w:t>
                      </w:r>
                      <w:r w:rsidRPr="00D63C31">
                        <w:rPr>
                          <w:lang w:val="en-US"/>
                        </w:rPr>
                        <w:t>) is with dermatoses patients, and another one (</w:t>
                      </w:r>
                      <w:r w:rsidRPr="002F4C58">
                        <w:rPr>
                          <w:rFonts w:eastAsia="Calibri"/>
                          <w:highlight w:val="black"/>
                        </w:rPr>
                        <w:t>xxxxx</w:t>
                      </w:r>
                      <w:r w:rsidRPr="00D63C31">
                        <w:rPr>
                          <w:lang w:val="en-US"/>
                        </w:rPr>
                        <w:t xml:space="preserve">) is with urticarial patients. No study for healthy population is available. In the study by </w:t>
                      </w:r>
                      <w:r w:rsidRPr="002F4C58">
                        <w:rPr>
                          <w:rFonts w:eastAsia="Calibri"/>
                          <w:highlight w:val="black"/>
                        </w:rPr>
                        <w:t>xxxxx</w:t>
                      </w:r>
                      <w:r w:rsidRPr="00D63C31">
                        <w:rPr>
                          <w:lang w:val="en-US"/>
                        </w:rPr>
                        <w:t xml:space="preserve"> dermatoses patients were exposed to 5% sodium benzoate diluted in petrolatum. The exposure level of 5% and solvent used are comparable to the study used by </w:t>
                      </w:r>
                      <w:r w:rsidRPr="002F4C58">
                        <w:rPr>
                          <w:rFonts w:eastAsia="Calibri"/>
                          <w:highlight w:val="black"/>
                        </w:rPr>
                        <w:t>xxxxx</w:t>
                      </w:r>
                      <w:r w:rsidRPr="00D63C31">
                        <w:rPr>
                          <w:lang w:val="en-US"/>
                        </w:rPr>
                        <w:t xml:space="preserve"> for benzoic acid. In the study by Brasch only 0.2% of the tested patients showed skin irritation, indicates that sodium benzoate the irritant potency is much weaker than benzoic acid, if there is any. The second study by Warin showed that 11% (12/111) of patients showed positive result, after they are exposed to 50 or 500 mg sodium benzoate.  However, the number of subjects is small and no healthy population was tested. Overall, the NL CA considered that these human data is not sufficient to assign H315 skin irritant for sodium benzoate.</w:t>
                      </w:r>
                    </w:p>
                    <w:p w14:paraId="0B0F60B6" w14:textId="77777777" w:rsidR="00980D14" w:rsidRPr="00D63C31" w:rsidRDefault="00980D14" w:rsidP="00D63C31">
                      <w:pPr>
                        <w:rPr>
                          <w:lang w:val="en-US"/>
                        </w:rPr>
                      </w:pPr>
                    </w:p>
                    <w:p w14:paraId="67FDEECC" w14:textId="77777777" w:rsidR="00980D14" w:rsidRPr="00D63C31" w:rsidRDefault="00980D14" w:rsidP="00D63C31">
                      <w:pPr>
                        <w:rPr>
                          <w:lang w:val="en-US"/>
                        </w:rPr>
                      </w:pPr>
                      <w:r w:rsidRPr="00D63C31">
                        <w:rPr>
                          <w:lang w:val="en-US"/>
                        </w:rPr>
                        <w:t>3. The previous conclusions from authorities</w:t>
                      </w:r>
                    </w:p>
                    <w:p w14:paraId="13BEE94B" w14:textId="77777777" w:rsidR="00980D14" w:rsidRDefault="00980D14" w:rsidP="00D63C31">
                      <w:pPr>
                        <w:rPr>
                          <w:lang w:val="en-US"/>
                        </w:rPr>
                      </w:pPr>
                      <w:r w:rsidRPr="00D63C31">
                        <w:rPr>
                          <w:lang w:val="en-US"/>
                        </w:rPr>
                        <w:t>The conclusion that sodium benzoate is not irritating to skin was reached by a number of authorities, including OECD SIDS (SIDS Initial Assessment Report on benzoates, 2001), WHO CICAD (2000) and Scientific Committee on Consumer Products (2005).</w:t>
                      </w:r>
                    </w:p>
                    <w:p w14:paraId="1E08AC47" w14:textId="77777777" w:rsidR="00980D14" w:rsidRDefault="00980D14" w:rsidP="00D63C31">
                      <w:pPr>
                        <w:rPr>
                          <w:lang w:val="en-US"/>
                        </w:rPr>
                      </w:pPr>
                    </w:p>
                    <w:p w14:paraId="4DC5E4F4" w14:textId="77777777" w:rsidR="00980D14" w:rsidRPr="004248D6" w:rsidRDefault="00980D14" w:rsidP="00D63C31">
                      <w:pPr>
                        <w:rPr>
                          <w:lang w:val="en-US"/>
                        </w:rPr>
                      </w:pPr>
                      <w:r>
                        <w:t>Based on WoE, NL CA has concluded H315 is not required for sodium benzoate, thus not for the biocidal product.</w:t>
                      </w:r>
                    </w:p>
                  </w:txbxContent>
                </v:textbox>
                <w10:anchorlock/>
              </v:shape>
            </w:pict>
          </mc:Fallback>
        </mc:AlternateContent>
      </w:r>
    </w:p>
    <w:p w14:paraId="7C32F7DE" w14:textId="77777777" w:rsidR="00D63C31" w:rsidRDefault="00D63C31">
      <w:pPr>
        <w:spacing w:line="260" w:lineRule="atLeast"/>
        <w:rPr>
          <w:rFonts w:eastAsia="Calibri"/>
          <w:lang w:eastAsia="en-US"/>
        </w:rPr>
      </w:pPr>
    </w:p>
    <w:p w14:paraId="4A5BFFB3" w14:textId="77777777" w:rsidR="00CF59EF" w:rsidRDefault="000B5D37">
      <w:pPr>
        <w:rPr>
          <w:rFonts w:eastAsia="Calibri"/>
          <w:b/>
          <w:i/>
          <w:sz w:val="22"/>
          <w:szCs w:val="22"/>
          <w:lang w:eastAsia="en-US"/>
        </w:rPr>
      </w:pPr>
      <w:bookmarkStart w:id="1456" w:name="_Toc403472755"/>
      <w:bookmarkStart w:id="1457" w:name="_Toc389729050"/>
      <w:bookmarkEnd w:id="1456"/>
      <w:bookmarkEnd w:id="1457"/>
      <w:r>
        <w:rPr>
          <w:rFonts w:eastAsia="Calibri"/>
          <w:b/>
          <w:i/>
          <w:sz w:val="22"/>
          <w:szCs w:val="22"/>
          <w:lang w:eastAsia="en-US"/>
        </w:rPr>
        <w:t>Eye irritation</w:t>
      </w:r>
    </w:p>
    <w:p w14:paraId="466D6033" w14:textId="77777777" w:rsidR="00CF59EF" w:rsidRDefault="00CF59EF">
      <w:pPr>
        <w:spacing w:line="260" w:lineRule="atLeast"/>
        <w:rPr>
          <w:rFonts w:eastAsia="Calibri"/>
          <w:lang w:eastAsia="en-US"/>
        </w:rPr>
      </w:pPr>
    </w:p>
    <w:p w14:paraId="6D106D20" w14:textId="77777777" w:rsidR="00CF59EF" w:rsidRDefault="000B5D37">
      <w:pPr>
        <w:spacing w:line="260" w:lineRule="atLeast"/>
        <w:rPr>
          <w:rFonts w:eastAsia="Calibri"/>
          <w:lang w:eastAsia="en-US"/>
        </w:rPr>
      </w:pPr>
      <w:r>
        <w:rPr>
          <w:rFonts w:eastAsia="Calibri"/>
          <w:lang w:eastAsia="en-US"/>
        </w:rPr>
        <w:t xml:space="preserve">No </w:t>
      </w:r>
      <w:r>
        <w:rPr>
          <w:rFonts w:eastAsia="Calibri"/>
          <w:i/>
          <w:lang w:eastAsia="en-US"/>
        </w:rPr>
        <w:t>in vitro</w:t>
      </w:r>
      <w:r>
        <w:rPr>
          <w:rFonts w:eastAsia="Calibri"/>
          <w:lang w:eastAsia="en-US"/>
        </w:rPr>
        <w:t xml:space="preserve"> data are available. </w:t>
      </w:r>
    </w:p>
    <w:p w14:paraId="2A375458" w14:textId="77777777" w:rsidR="00CF59EF" w:rsidRDefault="00CF59EF">
      <w:pPr>
        <w:spacing w:line="260" w:lineRule="atLeast"/>
        <w:rPr>
          <w:rFonts w:eastAsia="Calibri"/>
          <w:b/>
          <w:bCs/>
          <w:lang w:eastAsia="en-US"/>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81"/>
        <w:gridCol w:w="1336"/>
        <w:gridCol w:w="1981"/>
        <w:gridCol w:w="1741"/>
        <w:gridCol w:w="1427"/>
        <w:gridCol w:w="1348"/>
      </w:tblGrid>
      <w:tr w:rsidR="00CF59EF" w14:paraId="7A6F1B40" w14:textId="77777777">
        <w:tc>
          <w:tcPr>
            <w:tcW w:w="9213" w:type="dxa"/>
            <w:gridSpan w:val="6"/>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7AB8737" w14:textId="77777777" w:rsidR="00CF59EF" w:rsidRDefault="000B5D37">
            <w:pPr>
              <w:keepNext/>
              <w:widowControl w:val="0"/>
              <w:tabs>
                <w:tab w:val="center" w:pos="4536"/>
                <w:tab w:val="right" w:pos="9072"/>
              </w:tabs>
              <w:spacing w:line="260" w:lineRule="atLeast"/>
              <w:jc w:val="center"/>
              <w:rPr>
                <w:rFonts w:eastAsia="Calibri"/>
                <w:b/>
                <w:bCs/>
                <w:color w:val="000000"/>
                <w:lang w:eastAsia="en-GB"/>
              </w:rPr>
            </w:pPr>
            <w:r>
              <w:rPr>
                <w:rFonts w:eastAsia="Calibri"/>
                <w:b/>
                <w:bCs/>
                <w:color w:val="000000"/>
                <w:lang w:eastAsia="en-GB"/>
              </w:rPr>
              <w:t>Summary table of animal studies on serious eye damage and eye irritation</w:t>
            </w:r>
          </w:p>
        </w:tc>
      </w:tr>
      <w:tr w:rsidR="00CF59EF" w14:paraId="6168C935"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55107"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Method,</w:t>
            </w:r>
            <w:r>
              <w:rPr>
                <w:rFonts w:eastAsia="Calibri"/>
                <w:b/>
                <w:bCs/>
                <w:color w:val="000000"/>
                <w:lang w:eastAsia="en-GB"/>
              </w:rPr>
              <w:br/>
              <w:t xml:space="preserve">Guideline, </w:t>
            </w:r>
          </w:p>
          <w:p w14:paraId="16B226E1" w14:textId="77777777" w:rsidR="00CF59EF" w:rsidRDefault="000B5D37">
            <w:pPr>
              <w:spacing w:line="260" w:lineRule="atLeast"/>
              <w:rPr>
                <w:rFonts w:eastAsia="Calibri"/>
                <w:highlight w:val="cyan"/>
                <w:lang w:eastAsia="en-US"/>
              </w:rPr>
            </w:pPr>
            <w:r>
              <w:rPr>
                <w:rFonts w:eastAsia="Calibri"/>
                <w:b/>
                <w:bCs/>
                <w:color w:val="000000"/>
                <w:lang w:eastAsia="en-GB"/>
              </w:rPr>
              <w:t>GLP status, Reliability</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8A3518"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w:t>
            </w:r>
            <w:r>
              <w:rPr>
                <w:rFonts w:eastAsia="Calibri"/>
                <w:b/>
                <w:bCs/>
                <w:color w:val="000000"/>
                <w:lang w:eastAsia="en-GB"/>
              </w:rPr>
              <w:br/>
              <w:t>Strain,</w:t>
            </w:r>
            <w:r>
              <w:rPr>
                <w:rFonts w:eastAsia="Calibri"/>
                <w:b/>
                <w:bCs/>
                <w:color w:val="000000"/>
                <w:lang w:eastAsia="en-GB"/>
              </w:rPr>
              <w:br/>
              <w:t>Sex,</w:t>
            </w:r>
            <w:r>
              <w:rPr>
                <w:rFonts w:eastAsia="Calibri"/>
                <w:b/>
                <w:bCs/>
                <w:color w:val="000000"/>
                <w:lang w:eastAsia="en-GB"/>
              </w:rPr>
              <w:br/>
              <w:t>No/group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3ABC5"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Test </w:t>
            </w:r>
            <w:proofErr w:type="spellStart"/>
            <w:r>
              <w:rPr>
                <w:rFonts w:eastAsia="Calibri"/>
                <w:b/>
                <w:bCs/>
                <w:color w:val="000000"/>
                <w:lang w:eastAsia="en-GB"/>
              </w:rPr>
              <w:t>substance,Dose</w:t>
            </w:r>
            <w:proofErr w:type="spellEnd"/>
            <w:r>
              <w:rPr>
                <w:rFonts w:eastAsia="Calibri"/>
                <w:b/>
                <w:bCs/>
                <w:color w:val="000000"/>
                <w:lang w:eastAsia="en-GB"/>
              </w:rPr>
              <w:t xml:space="preserve"> levels, Duration of exposure</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15412"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Results</w:t>
            </w:r>
          </w:p>
          <w:p w14:paraId="53831685" w14:textId="77777777" w:rsidR="00CF59EF" w:rsidRDefault="000B5D37">
            <w:pPr>
              <w:keepNext/>
              <w:widowControl w:val="0"/>
              <w:tabs>
                <w:tab w:val="center" w:pos="4536"/>
                <w:tab w:val="right" w:pos="9072"/>
              </w:tabs>
              <w:spacing w:line="260" w:lineRule="atLeast"/>
              <w:rPr>
                <w:rFonts w:eastAsia="Calibri"/>
                <w:bCs/>
                <w:i/>
                <w:color w:val="000000"/>
                <w:lang w:eastAsia="en-GB"/>
              </w:rPr>
            </w:pPr>
            <w:r>
              <w:rPr>
                <w:rFonts w:eastAsia="Calibri"/>
                <w:bCs/>
                <w:i/>
                <w:color w:val="000000"/>
                <w:lang w:eastAsia="en-GB"/>
              </w:rPr>
              <w:t>Average score (24, 48, 72h)/</w:t>
            </w:r>
          </w:p>
          <w:p w14:paraId="6703E04E"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Cs/>
                <w:i/>
                <w:color w:val="000000"/>
                <w:lang w:eastAsia="en-GB"/>
              </w:rPr>
              <w:t>observations and time point of onset, reversibility</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0F112"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Remarks </w:t>
            </w:r>
            <w:r>
              <w:rPr>
                <w:rFonts w:eastAsia="Calibri"/>
                <w:bCs/>
                <w:i/>
                <w:color w:val="000000"/>
                <w:lang w:eastAsia="en-GB"/>
              </w:rPr>
              <w:t>(e.g. major deviations)</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ED061E" w14:textId="77777777"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Reference </w:t>
            </w:r>
          </w:p>
          <w:p w14:paraId="7E10B125" w14:textId="77777777" w:rsidR="00CF59EF" w:rsidRDefault="00CF59EF">
            <w:pPr>
              <w:keepNext/>
              <w:widowControl w:val="0"/>
              <w:tabs>
                <w:tab w:val="center" w:pos="4536"/>
                <w:tab w:val="right" w:pos="9072"/>
              </w:tabs>
              <w:spacing w:line="260" w:lineRule="atLeast"/>
              <w:rPr>
                <w:rFonts w:eastAsia="Calibri"/>
                <w:b/>
                <w:bCs/>
                <w:color w:val="000000"/>
                <w:lang w:eastAsia="en-GB"/>
              </w:rPr>
            </w:pPr>
          </w:p>
        </w:tc>
      </w:tr>
      <w:tr w:rsidR="00CF59EF" w14:paraId="40D3F90C"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BDE55" w14:textId="77777777" w:rsidR="00CF59EF" w:rsidRDefault="000B5D37">
            <w:pPr>
              <w:spacing w:line="260" w:lineRule="atLeast"/>
              <w:rPr>
                <w:rFonts w:eastAsia="Calibri"/>
                <w:lang w:eastAsia="en-US"/>
              </w:rPr>
            </w:pPr>
            <w:r>
              <w:rPr>
                <w:rFonts w:eastAsia="Calibri"/>
                <w:lang w:eastAsia="en-US"/>
              </w:rPr>
              <w:t>OECD Guideline 405, EU method B.5, GLP, reliability 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D21D1" w14:textId="77777777" w:rsidR="00CF59EF" w:rsidRDefault="000B5D37">
            <w:pPr>
              <w:spacing w:line="260" w:lineRule="atLeast"/>
              <w:rPr>
                <w:rFonts w:eastAsia="Calibri"/>
                <w:lang w:eastAsia="en-US"/>
              </w:rPr>
            </w:pPr>
            <w:r>
              <w:rPr>
                <w:rFonts w:eastAsia="Calibri"/>
                <w:lang w:eastAsia="en-US"/>
              </w:rPr>
              <w:t>Rabbit, New Zealand White, females, 3/group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73EF2" w14:textId="77777777" w:rsidR="00CF59EF" w:rsidRDefault="000B5D37">
            <w:pPr>
              <w:spacing w:line="260" w:lineRule="atLeast"/>
              <w:rPr>
                <w:rFonts w:eastAsia="Calibri"/>
                <w:lang w:eastAsia="en-US"/>
              </w:rPr>
            </w:pPr>
            <w:r>
              <w:rPr>
                <w:rFonts w:eastAsia="Calibri"/>
                <w:lang w:eastAsia="en-US"/>
              </w:rPr>
              <w:t>Sodium benzoate, 60 +/- 1 mg (equivalent to 0.1 ml)/ animal, single instillation</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69298" w14:textId="77777777" w:rsidR="00CF59EF" w:rsidRDefault="000B5D37">
            <w:pPr>
              <w:spacing w:line="260" w:lineRule="atLeast"/>
              <w:rPr>
                <w:rFonts w:eastAsia="Calibri"/>
                <w:lang w:eastAsia="en-US"/>
              </w:rPr>
            </w:pPr>
            <w:r>
              <w:rPr>
                <w:rFonts w:eastAsia="Calibri"/>
                <w:lang w:eastAsia="en-US"/>
              </w:rPr>
              <w:t xml:space="preserve">Average of 3 animals at 24, 48 and 72 hours: </w:t>
            </w:r>
          </w:p>
          <w:p w14:paraId="7402B266" w14:textId="77777777" w:rsidR="00CF59EF" w:rsidRDefault="000B5D37">
            <w:pPr>
              <w:spacing w:line="260" w:lineRule="atLeast"/>
              <w:rPr>
                <w:rFonts w:eastAsia="Calibri"/>
                <w:lang w:eastAsia="en-US"/>
              </w:rPr>
            </w:pPr>
            <w:r>
              <w:rPr>
                <w:rFonts w:eastAsia="Calibri"/>
                <w:lang w:eastAsia="en-US"/>
              </w:rPr>
              <w:t>Cornea: 0</w:t>
            </w:r>
          </w:p>
          <w:p w14:paraId="2682E373" w14:textId="77777777" w:rsidR="00CF59EF" w:rsidRDefault="000B5D37">
            <w:pPr>
              <w:spacing w:line="260" w:lineRule="atLeast"/>
              <w:rPr>
                <w:rFonts w:eastAsia="Calibri"/>
                <w:lang w:eastAsia="en-US"/>
              </w:rPr>
            </w:pPr>
            <w:r>
              <w:rPr>
                <w:rFonts w:eastAsia="Calibri"/>
                <w:lang w:eastAsia="en-US"/>
              </w:rPr>
              <w:t>Iris: 0</w:t>
            </w:r>
          </w:p>
          <w:p w14:paraId="065C77F1" w14:textId="77777777" w:rsidR="00CF59EF" w:rsidRDefault="000B5D37">
            <w:pPr>
              <w:spacing w:line="260" w:lineRule="atLeast"/>
              <w:rPr>
                <w:rFonts w:eastAsia="Calibri"/>
                <w:lang w:eastAsia="en-US"/>
              </w:rPr>
            </w:pPr>
            <w:r>
              <w:rPr>
                <w:rFonts w:eastAsia="Calibri"/>
                <w:lang w:eastAsia="en-US"/>
              </w:rPr>
              <w:t>Conjunctivae: 2.47</w:t>
            </w:r>
          </w:p>
          <w:p w14:paraId="2471FEC4" w14:textId="77777777" w:rsidR="00CF59EF" w:rsidRDefault="000B5D37">
            <w:pPr>
              <w:spacing w:line="260" w:lineRule="atLeast"/>
              <w:rPr>
                <w:rFonts w:eastAsia="Calibri"/>
                <w:lang w:eastAsia="en-US"/>
              </w:rPr>
            </w:pPr>
            <w:r>
              <w:rPr>
                <w:rFonts w:eastAsia="Calibri"/>
                <w:lang w:eastAsia="en-US"/>
              </w:rPr>
              <w:t>Chemosis: 0.7</w:t>
            </w:r>
          </w:p>
          <w:p w14:paraId="4447711B" w14:textId="77777777" w:rsidR="00CF59EF" w:rsidRDefault="00CF59EF">
            <w:pPr>
              <w:spacing w:line="260" w:lineRule="atLeast"/>
              <w:rPr>
                <w:rFonts w:eastAsia="Calibri"/>
                <w:lang w:eastAsia="en-US"/>
              </w:rPr>
            </w:pPr>
          </w:p>
          <w:p w14:paraId="03CAF2BA" w14:textId="77777777" w:rsidR="00CF59EF" w:rsidRDefault="000B5D37">
            <w:pPr>
              <w:spacing w:line="260" w:lineRule="atLeast"/>
              <w:rPr>
                <w:rFonts w:eastAsia="Calibri"/>
                <w:lang w:eastAsia="en-US"/>
              </w:rPr>
            </w:pPr>
            <w:r>
              <w:rPr>
                <w:rFonts w:eastAsia="Calibri"/>
                <w:lang w:eastAsia="en-US"/>
              </w:rPr>
              <w:t xml:space="preserve">All effects were fully reversible within 14 days. </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E7BDA" w14:textId="77777777" w:rsidR="00CF59EF" w:rsidRDefault="000B5D37">
            <w:pPr>
              <w:spacing w:line="260" w:lineRule="atLeast"/>
              <w:rPr>
                <w:rFonts w:eastAsia="Calibri"/>
                <w:lang w:eastAsia="en-US"/>
              </w:rPr>
            </w:pPr>
            <w:r>
              <w:rPr>
                <w:rFonts w:eastAsia="Calibri"/>
                <w:lang w:eastAsia="en-US"/>
              </w:rPr>
              <w:t>Observation period was 14 days; however, considering all reactions were fully reversible within that time, this is considered accept</w:t>
            </w:r>
            <w:r w:rsidR="00650B51">
              <w:rPr>
                <w:rFonts w:eastAsia="Calibri"/>
                <w:lang w:eastAsia="en-US"/>
              </w:rPr>
              <w:t>able.</w:t>
            </w:r>
            <w:r>
              <w:rPr>
                <w:rFonts w:eastAsia="Calibri"/>
                <w:lang w:eastAsia="en-US"/>
              </w:rPr>
              <w:t xml:space="preserve"> </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20919" w14:textId="77777777" w:rsidR="00CF59EF" w:rsidRDefault="000B5D37">
            <w:pPr>
              <w:spacing w:line="260" w:lineRule="atLeast"/>
              <w:rPr>
                <w:rFonts w:eastAsia="Calibri"/>
                <w:lang w:eastAsia="en-US"/>
              </w:rPr>
            </w:pPr>
            <w:r>
              <w:rPr>
                <w:rFonts w:eastAsia="Calibri"/>
                <w:lang w:eastAsia="en-US"/>
              </w:rPr>
              <w:t>2.2.6.1-2 (</w:t>
            </w:r>
            <w:proofErr w:type="spellStart"/>
            <w:r w:rsidR="005D5483" w:rsidRPr="002F4C58">
              <w:rPr>
                <w:rFonts w:eastAsia="Calibri"/>
                <w:highlight w:val="black"/>
              </w:rPr>
              <w:t>xxxxx</w:t>
            </w:r>
            <w:proofErr w:type="spellEnd"/>
            <w:r>
              <w:rPr>
                <w:rFonts w:eastAsia="Calibri"/>
                <w:lang w:eastAsia="en-US"/>
              </w:rPr>
              <w:t>)</w:t>
            </w:r>
          </w:p>
        </w:tc>
      </w:tr>
    </w:tbl>
    <w:p w14:paraId="1F060998" w14:textId="77777777" w:rsidR="00CF59EF" w:rsidRDefault="00CF59EF">
      <w:pPr>
        <w:spacing w:line="260" w:lineRule="atLeast"/>
        <w:rPr>
          <w:rFonts w:eastAsia="Calibri"/>
          <w:i/>
          <w:iCs/>
          <w:lang w:eastAsia="en-US"/>
        </w:rPr>
      </w:pPr>
    </w:p>
    <w:p w14:paraId="45AAC397" w14:textId="77777777" w:rsidR="00CF59EF" w:rsidRDefault="000B5D37">
      <w:pPr>
        <w:spacing w:line="260" w:lineRule="atLeast"/>
        <w:rPr>
          <w:rFonts w:eastAsia="Calibri"/>
          <w:iCs/>
          <w:lang w:eastAsia="en-US"/>
        </w:rPr>
      </w:pPr>
      <w:r>
        <w:rPr>
          <w:rFonts w:eastAsia="Calibri"/>
          <w:iCs/>
          <w:lang w:eastAsia="en-US"/>
        </w:rPr>
        <w:t>No human data are available.</w:t>
      </w:r>
    </w:p>
    <w:p w14:paraId="431E5A9C" w14:textId="77777777" w:rsidR="00CF59EF" w:rsidRDefault="00CF59EF">
      <w:pPr>
        <w:spacing w:line="260" w:lineRule="atLeast"/>
        <w:rPr>
          <w:rFonts w:ascii="Times New Roman" w:eastAsia="Calibri" w:hAnsi="Times New Roman"/>
          <w:i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14:paraId="1B7C54A0"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7E86FBF1" w14:textId="77777777" w:rsidR="00CF59EF" w:rsidRDefault="000B5D37">
            <w:pPr>
              <w:spacing w:line="260" w:lineRule="atLeast"/>
              <w:rPr>
                <w:rFonts w:eastAsia="Calibri"/>
                <w:b/>
                <w:bCs/>
                <w:lang w:eastAsia="en-US"/>
              </w:rPr>
            </w:pPr>
            <w:r>
              <w:rPr>
                <w:rFonts w:eastAsia="Calibri"/>
                <w:b/>
                <w:bCs/>
                <w:lang w:eastAsia="en-US"/>
              </w:rPr>
              <w:t xml:space="preserve">Conclusion used in Risk Assessment – Eye irritation </w:t>
            </w:r>
          </w:p>
        </w:tc>
      </w:tr>
      <w:tr w:rsidR="00CF59EF" w14:paraId="24F168AA" w14:textId="77777777">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BC72C36" w14:textId="77777777"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72F7BBED" w14:textId="77777777" w:rsidR="00CF59EF" w:rsidRDefault="000B5D37">
            <w:pPr>
              <w:spacing w:line="260" w:lineRule="atLeast"/>
              <w:rPr>
                <w:rFonts w:eastAsia="Calibri"/>
                <w:lang w:eastAsia="en-US"/>
              </w:rPr>
            </w:pPr>
            <w:r>
              <w:rPr>
                <w:rFonts w:eastAsia="Calibri"/>
                <w:lang w:eastAsia="en-US"/>
              </w:rPr>
              <w:t>Irritating to eyes</w:t>
            </w:r>
          </w:p>
        </w:tc>
      </w:tr>
      <w:tr w:rsidR="00CF59EF" w14:paraId="6F619133"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C48F515" w14:textId="77777777"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75EF10B9" w14:textId="77777777" w:rsidR="00CF59EF" w:rsidRDefault="000B5D37">
            <w:pPr>
              <w:spacing w:line="260" w:lineRule="atLeast"/>
              <w:rPr>
                <w:rFonts w:eastAsia="Calibri"/>
                <w:lang w:eastAsia="en-US"/>
              </w:rPr>
            </w:pPr>
            <w:r>
              <w:rPr>
                <w:rFonts w:eastAsia="Calibri"/>
                <w:lang w:eastAsia="en-US"/>
              </w:rPr>
              <w:t xml:space="preserve">Based on the observed effects on conjunctivae (average score 2.46) in the reliable guideline study with rabbits. </w:t>
            </w:r>
          </w:p>
        </w:tc>
      </w:tr>
      <w:tr w:rsidR="00CF59EF" w14:paraId="2943D180"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D0C4572"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2AD0D9E4" w14:textId="77777777" w:rsidR="00CF59EF" w:rsidRDefault="000B5D37">
            <w:pPr>
              <w:spacing w:line="260" w:lineRule="atLeast"/>
              <w:rPr>
                <w:rFonts w:eastAsia="Calibri"/>
                <w:lang w:eastAsia="en-US"/>
              </w:rPr>
            </w:pPr>
            <w:r>
              <w:rPr>
                <w:rFonts w:eastAsia="Calibri"/>
                <w:lang w:eastAsia="en-US"/>
              </w:rPr>
              <w:t xml:space="preserve">Eye </w:t>
            </w:r>
            <w:proofErr w:type="spellStart"/>
            <w:r>
              <w:rPr>
                <w:rFonts w:eastAsia="Calibri"/>
                <w:lang w:eastAsia="en-US"/>
              </w:rPr>
              <w:t>Irrit</w:t>
            </w:r>
            <w:proofErr w:type="spellEnd"/>
            <w:r>
              <w:rPr>
                <w:rFonts w:eastAsia="Calibri"/>
                <w:lang w:eastAsia="en-US"/>
              </w:rPr>
              <w:t>. 2, H319</w:t>
            </w:r>
          </w:p>
        </w:tc>
      </w:tr>
    </w:tbl>
    <w:p w14:paraId="29C8F4E4" w14:textId="77777777" w:rsidR="00CF59EF" w:rsidRDefault="00CF59EF">
      <w:pPr>
        <w:spacing w:line="260" w:lineRule="atLeast"/>
        <w:rPr>
          <w:rFonts w:ascii="Times New Roman" w:eastAsia="Calibri" w:hAnsi="Times New Roman"/>
          <w:i/>
          <w:iCs/>
          <w:lang w:eastAsia="en-US"/>
        </w:rPr>
      </w:pPr>
    </w:p>
    <w:p w14:paraId="1D679D0E" w14:textId="77777777" w:rsidR="00CF59EF" w:rsidRDefault="000B5D37">
      <w:pPr>
        <w:spacing w:line="260" w:lineRule="atLeast"/>
        <w:rPr>
          <w:rFonts w:eastAsia="Calibri"/>
          <w:lang w:eastAsia="en-US"/>
        </w:rPr>
      </w:pPr>
      <w:bookmarkStart w:id="1458" w:name="_Toc403472756"/>
      <w:bookmarkStart w:id="1459" w:name="_Toc389729051"/>
      <w:bookmarkStart w:id="1460" w:name="_Toc367977148"/>
      <w:bookmarkStart w:id="1461" w:name="_Toc367976971"/>
      <w:r>
        <w:rPr>
          <w:rFonts w:eastAsia="Calibri"/>
          <w:b/>
          <w:i/>
          <w:sz w:val="22"/>
          <w:szCs w:val="22"/>
          <w:lang w:eastAsia="en-US"/>
        </w:rPr>
        <w:t>Respiratory tract irritation</w:t>
      </w:r>
      <w:bookmarkEnd w:id="1458"/>
      <w:bookmarkEnd w:id="1459"/>
      <w:bookmarkEnd w:id="1460"/>
      <w:bookmarkEnd w:id="1461"/>
      <w:r>
        <w:rPr>
          <w:rFonts w:eastAsia="Calibri"/>
          <w:b/>
          <w:i/>
          <w:sz w:val="22"/>
          <w:szCs w:val="22"/>
          <w:lang w:eastAsia="en-US"/>
        </w:rPr>
        <w:t xml:space="preserve"> </w:t>
      </w:r>
    </w:p>
    <w:p w14:paraId="2B00EDD7" w14:textId="77777777" w:rsidR="00CF59EF" w:rsidRDefault="000B5D37">
      <w:pPr>
        <w:spacing w:before="60" w:line="276" w:lineRule="auto"/>
        <w:rPr>
          <w:rFonts w:eastAsia="Calibri"/>
          <w:lang w:eastAsia="en-US"/>
        </w:rPr>
      </w:pPr>
      <w:r>
        <w:rPr>
          <w:rFonts w:eastAsia="Calibri"/>
          <w:iCs/>
          <w:lang w:eastAsia="en-US"/>
        </w:rPr>
        <w:t xml:space="preserve">No data are available. </w:t>
      </w:r>
    </w:p>
    <w:p w14:paraId="5DB11D15" w14:textId="77777777" w:rsidR="00CF59EF" w:rsidRDefault="00CF59EF">
      <w:pPr>
        <w:spacing w:line="260" w:lineRule="atLeast"/>
        <w:rPr>
          <w:rFonts w:eastAsia="Calibri"/>
          <w:lang w:eastAsia="en-US"/>
        </w:rPr>
      </w:pPr>
    </w:p>
    <w:p w14:paraId="6EB58F82" w14:textId="77777777" w:rsidR="00CF59EF" w:rsidRDefault="000B5D37">
      <w:pPr>
        <w:rPr>
          <w:rFonts w:eastAsia="Calibri"/>
          <w:b/>
          <w:i/>
          <w:sz w:val="22"/>
          <w:szCs w:val="22"/>
          <w:lang w:eastAsia="en-US"/>
        </w:rPr>
      </w:pPr>
      <w:bookmarkStart w:id="1462" w:name="_Toc403472757"/>
      <w:bookmarkStart w:id="1463" w:name="_Toc389729052"/>
      <w:bookmarkEnd w:id="1462"/>
      <w:bookmarkEnd w:id="1463"/>
      <w:r>
        <w:rPr>
          <w:rFonts w:eastAsia="Calibri"/>
          <w:b/>
          <w:i/>
          <w:sz w:val="22"/>
          <w:szCs w:val="22"/>
          <w:lang w:eastAsia="en-US"/>
        </w:rPr>
        <w:t>Skin sensitization</w:t>
      </w:r>
    </w:p>
    <w:p w14:paraId="464F691C" w14:textId="77777777" w:rsidR="00CF59EF" w:rsidRDefault="00CF59EF">
      <w:pPr>
        <w:spacing w:line="260" w:lineRule="atLeast"/>
        <w:rPr>
          <w:rFonts w:eastAsia="Calibri"/>
          <w:lang w:eastAsia="en-US"/>
        </w:rPr>
      </w:pPr>
    </w:p>
    <w:tbl>
      <w:tblPr>
        <w:tblW w:w="9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346"/>
        <w:gridCol w:w="1258"/>
        <w:gridCol w:w="2218"/>
        <w:gridCol w:w="1838"/>
        <w:gridCol w:w="1351"/>
        <w:gridCol w:w="1273"/>
      </w:tblGrid>
      <w:tr w:rsidR="00CF59EF" w14:paraId="23441902" w14:textId="77777777">
        <w:trPr>
          <w:trHeight w:val="348"/>
          <w:tblHeader/>
        </w:trPr>
        <w:tc>
          <w:tcPr>
            <w:tcW w:w="9283" w:type="dxa"/>
            <w:gridSpan w:val="6"/>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6F802CD0" w14:textId="77777777" w:rsidR="00CF59EF" w:rsidRDefault="000B5D37">
            <w:pPr>
              <w:spacing w:line="260" w:lineRule="atLeast"/>
              <w:jc w:val="center"/>
              <w:rPr>
                <w:rFonts w:eastAsia="Calibri"/>
                <w:b/>
                <w:lang w:eastAsia="en-US"/>
              </w:rPr>
            </w:pPr>
            <w:r>
              <w:rPr>
                <w:rFonts w:eastAsia="Calibri"/>
                <w:b/>
                <w:lang w:eastAsia="en-US"/>
              </w:rPr>
              <w:lastRenderedPageBreak/>
              <w:t>Summary table of animal studies on skin sensitisation</w:t>
            </w:r>
          </w:p>
        </w:tc>
      </w:tr>
      <w:tr w:rsidR="00CF59EF" w14:paraId="46096A30" w14:textId="77777777">
        <w:trPr>
          <w:trHeight w:val="651"/>
          <w:tblHead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06801581" w14:textId="77777777" w:rsidR="00CF59EF" w:rsidRDefault="000B5D37">
            <w:pPr>
              <w:spacing w:line="260" w:lineRule="atLeast"/>
              <w:rPr>
                <w:rFonts w:eastAsia="Calibri"/>
                <w:lang w:eastAsia="en-US"/>
              </w:rPr>
            </w:pPr>
            <w:r>
              <w:rPr>
                <w:rFonts w:eastAsia="Calibri"/>
                <w:b/>
                <w:lang w:eastAsia="en-GB"/>
              </w:rPr>
              <w:t>Method,</w:t>
            </w:r>
            <w:r>
              <w:rPr>
                <w:rFonts w:eastAsia="Calibri"/>
                <w:b/>
                <w:lang w:eastAsia="en-GB"/>
              </w:rPr>
              <w:br/>
              <w:t xml:space="preserve">Guideline, GLP status, </w:t>
            </w:r>
            <w:r>
              <w:rPr>
                <w:rFonts w:eastAsia="Calibri"/>
                <w:b/>
                <w:bCs/>
                <w:color w:val="000000"/>
                <w:lang w:eastAsia="en-GB"/>
              </w:rPr>
              <w:t>. Reliability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C5BD0B" w14:textId="77777777"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0EF23E45" w14:textId="77777777" w:rsidR="00CF59EF" w:rsidRDefault="000B5D37">
            <w:pPr>
              <w:keepNext/>
              <w:widowControl w:val="0"/>
              <w:tabs>
                <w:tab w:val="center" w:pos="4536"/>
                <w:tab w:val="right" w:pos="9072"/>
              </w:tabs>
              <w:spacing w:before="60" w:after="60" w:line="260" w:lineRule="atLeast"/>
              <w:rPr>
                <w:rFonts w:eastAsia="Calibri"/>
                <w:b/>
                <w:bCs/>
                <w:color w:val="000000"/>
                <w:lang w:eastAsia="en-GB"/>
              </w:rPr>
            </w:pPr>
            <w:r>
              <w:rPr>
                <w:rFonts w:eastAsia="Calibri"/>
                <w:b/>
                <w:bCs/>
                <w:color w:val="000000"/>
                <w:lang w:eastAsia="en-GB"/>
              </w:rPr>
              <w:t>Test substance, Vehicle,</w:t>
            </w:r>
          </w:p>
          <w:p w14:paraId="7E4B8680" w14:textId="77777777" w:rsidR="00CF59EF" w:rsidRDefault="000B5D37">
            <w:pPr>
              <w:spacing w:line="260" w:lineRule="atLeast"/>
              <w:rPr>
                <w:rFonts w:eastAsia="Calibri"/>
                <w:lang w:eastAsia="en-US"/>
              </w:rPr>
            </w:pPr>
            <w:r>
              <w:rPr>
                <w:rFonts w:eastAsia="Calibri"/>
                <w:b/>
                <w:bCs/>
                <w:color w:val="000000"/>
                <w:lang w:eastAsia="en-GB"/>
              </w:rPr>
              <w:t xml:space="preserve">Dose levels, </w:t>
            </w:r>
            <w:r>
              <w:rPr>
                <w:rFonts w:eastAsia="Calibri"/>
                <w:b/>
                <w:bCs/>
                <w:color w:val="000000"/>
                <w:lang w:eastAsia="en-GB"/>
              </w:rPr>
              <w:br/>
              <w:t>duration of exposure</w:t>
            </w:r>
            <w:r>
              <w:rPr>
                <w:rFonts w:eastAsia="Calibri"/>
                <w:b/>
                <w:lang w:eastAsia="en-GB"/>
              </w:rPr>
              <w:t xml:space="preserve"> Route of exposure </w:t>
            </w:r>
            <w:r>
              <w:rPr>
                <w:rFonts w:eastAsia="Calibri"/>
                <w:i/>
                <w:lang w:eastAsia="en-GB"/>
              </w:rPr>
              <w:t>(topical/intradermal, if relevant)</w:t>
            </w:r>
          </w:p>
        </w:tc>
        <w:tc>
          <w:tcPr>
            <w:tcW w:w="2672"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3273C780" w14:textId="77777777" w:rsidR="00CF59EF" w:rsidRDefault="000B5D37">
            <w:pPr>
              <w:spacing w:line="260" w:lineRule="atLeast"/>
              <w:rPr>
                <w:rFonts w:eastAsia="Calibri"/>
                <w:b/>
                <w:lang w:eastAsia="en-US"/>
              </w:rPr>
            </w:pPr>
            <w:r>
              <w:rPr>
                <w:rFonts w:eastAsia="Calibri"/>
                <w:b/>
                <w:lang w:eastAsia="en-US"/>
              </w:rPr>
              <w:t xml:space="preserve">Results </w:t>
            </w:r>
          </w:p>
          <w:p w14:paraId="1EB93BAA" w14:textId="77777777" w:rsidR="00CF59EF" w:rsidRDefault="000B5D37">
            <w:pPr>
              <w:spacing w:line="260" w:lineRule="atLeast"/>
              <w:rPr>
                <w:rFonts w:eastAsia="Calibri"/>
                <w:b/>
                <w:lang w:eastAsia="en-US"/>
              </w:rPr>
            </w:pPr>
            <w:r>
              <w:rPr>
                <w:rFonts w:eastAsia="Calibri"/>
                <w:i/>
                <w:lang w:eastAsia="en-US"/>
              </w:rPr>
              <w:t>(EC3-value or amount of sensitised animals at induction dose); evidence for local or systemic toxicity (time course of onset)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32AB25" w14:textId="77777777" w:rsidR="00CF59EF" w:rsidRDefault="000B5D37">
            <w:pPr>
              <w:spacing w:line="260" w:lineRule="atLeast"/>
              <w:rPr>
                <w:rFonts w:eastAsia="Calibri"/>
                <w:b/>
                <w:lang w:eastAsia="en-US"/>
              </w:rPr>
            </w:pPr>
            <w:r>
              <w:rPr>
                <w:rFonts w:eastAsia="Calibri"/>
                <w:b/>
                <w:lang w:eastAsia="en-US"/>
              </w:rPr>
              <w:t>Remarks</w:t>
            </w:r>
          </w:p>
          <w:p w14:paraId="09DC81BD" w14:textId="77777777" w:rsidR="00CF59EF" w:rsidRDefault="000B5D37">
            <w:pPr>
              <w:spacing w:line="260" w:lineRule="atLeast"/>
              <w:rPr>
                <w:rFonts w:eastAsia="Calibri"/>
                <w:i/>
                <w:lang w:eastAsia="en-US"/>
              </w:rPr>
            </w:pPr>
            <w:r>
              <w:rPr>
                <w:rFonts w:eastAsia="Calibri"/>
                <w:i/>
                <w:lang w:eastAsia="en-GB"/>
              </w:rPr>
              <w:t>(e.g. major deviations)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6B69D439" w14:textId="77777777" w:rsidR="00CF59EF" w:rsidRDefault="000B5D37">
            <w:pPr>
              <w:spacing w:line="260" w:lineRule="atLeast"/>
              <w:rPr>
                <w:rFonts w:eastAsia="Calibri"/>
                <w:b/>
                <w:lang w:eastAsia="en-US"/>
              </w:rPr>
            </w:pPr>
            <w:r>
              <w:rPr>
                <w:rFonts w:eastAsia="Calibri"/>
                <w:b/>
                <w:lang w:eastAsia="en-US"/>
              </w:rPr>
              <w:t xml:space="preserve">Reference </w:t>
            </w:r>
          </w:p>
          <w:p w14:paraId="55FF811F" w14:textId="77777777" w:rsidR="00CF59EF" w:rsidRDefault="00CF59EF">
            <w:pPr>
              <w:spacing w:line="260" w:lineRule="atLeast"/>
              <w:rPr>
                <w:rFonts w:eastAsia="Calibri"/>
                <w:lang w:eastAsia="en-US"/>
              </w:rPr>
            </w:pPr>
          </w:p>
        </w:tc>
      </w:tr>
      <w:tr w:rsidR="00CF59EF" w14:paraId="0B2D6F36" w14:textId="77777777">
        <w:trPr>
          <w:trHeight w:val="227"/>
          <w:tblHead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3B8ACD" w14:textId="77777777" w:rsidR="00CF59EF" w:rsidRDefault="000B5D37">
            <w:pPr>
              <w:spacing w:line="260" w:lineRule="atLeast"/>
              <w:rPr>
                <w:rFonts w:eastAsia="Calibri"/>
                <w:lang w:eastAsia="en-US"/>
              </w:rPr>
            </w:pPr>
            <w:r>
              <w:rPr>
                <w:rFonts w:eastAsia="Calibri"/>
                <w:lang w:eastAsia="en-US"/>
              </w:rPr>
              <w:t>Modified LLNA Comparable to OECD guideline 429, no GLP, reliability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48D2BB" w14:textId="77777777" w:rsidR="00CF59EF" w:rsidRDefault="000B5D37">
            <w:pPr>
              <w:spacing w:line="260" w:lineRule="atLeast"/>
              <w:rPr>
                <w:rFonts w:eastAsia="Calibri"/>
                <w:lang w:eastAsia="en-US"/>
              </w:rPr>
            </w:pPr>
            <w:r>
              <w:rPr>
                <w:rFonts w:eastAsia="Calibri"/>
                <w:lang w:eastAsia="en-US"/>
              </w:rPr>
              <w:t>Mouse, CBA, female, 5/group</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C93E4E" w14:textId="77777777" w:rsidR="00CF59EF" w:rsidRDefault="000B5D37">
            <w:pPr>
              <w:spacing w:line="260" w:lineRule="atLeast"/>
              <w:rPr>
                <w:rFonts w:eastAsia="Calibri"/>
                <w:lang w:eastAsia="en-US"/>
              </w:rPr>
            </w:pPr>
            <w:r>
              <w:rPr>
                <w:rFonts w:eastAsia="Calibri"/>
                <w:lang w:eastAsia="en-US"/>
              </w:rPr>
              <w:t xml:space="preserve">Benzoic acid, 5%, 10% and 20% in acetone, four consecutive days, open application on both ears (total 25 µL/ear).  18 to 24 hours after last exposure animals were injected with </w:t>
            </w:r>
            <w:r>
              <w:rPr>
                <w:rFonts w:eastAsia="Calibri"/>
                <w:vertAlign w:val="superscript"/>
                <w:lang w:eastAsia="en-US"/>
              </w:rPr>
              <w:t>3</w:t>
            </w:r>
            <w:r>
              <w:rPr>
                <w:rFonts w:eastAsia="Calibri"/>
                <w:lang w:eastAsia="en-US"/>
              </w:rPr>
              <w:t xml:space="preserve">H-methyl thymidine into the tail vein and after 5 hours euthanized. </w:t>
            </w:r>
          </w:p>
        </w:tc>
        <w:tc>
          <w:tcPr>
            <w:tcW w:w="26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67FF3D" w14:textId="77777777" w:rsidR="00CF59EF" w:rsidRDefault="000B5D37">
            <w:pPr>
              <w:spacing w:line="260" w:lineRule="atLeast"/>
              <w:rPr>
                <w:rFonts w:eastAsia="Calibri"/>
                <w:lang w:eastAsia="en-US"/>
              </w:rPr>
            </w:pPr>
            <w:r>
              <w:rPr>
                <w:rFonts w:eastAsia="Calibri"/>
                <w:lang w:eastAsia="en-US"/>
              </w:rPr>
              <w:t xml:space="preserve">SI values: </w:t>
            </w:r>
          </w:p>
          <w:p w14:paraId="60B7BD3F" w14:textId="77777777" w:rsidR="00CF59EF" w:rsidRDefault="000B5D37">
            <w:pPr>
              <w:spacing w:line="260" w:lineRule="atLeast"/>
              <w:rPr>
                <w:rFonts w:eastAsia="Calibri"/>
                <w:lang w:eastAsia="en-US"/>
              </w:rPr>
            </w:pPr>
            <w:r>
              <w:rPr>
                <w:rFonts w:eastAsia="Calibri"/>
                <w:lang w:eastAsia="en-US"/>
              </w:rPr>
              <w:t>5%: 0.8</w:t>
            </w:r>
          </w:p>
          <w:p w14:paraId="03E3FDEC" w14:textId="77777777" w:rsidR="00CF59EF" w:rsidRDefault="000B5D37">
            <w:pPr>
              <w:spacing w:line="260" w:lineRule="atLeast"/>
              <w:rPr>
                <w:rFonts w:eastAsia="Calibri"/>
                <w:lang w:eastAsia="en-US"/>
              </w:rPr>
            </w:pPr>
            <w:r>
              <w:rPr>
                <w:rFonts w:eastAsia="Calibri"/>
                <w:lang w:eastAsia="en-US"/>
              </w:rPr>
              <w:t>10%: 0.9</w:t>
            </w:r>
          </w:p>
          <w:p w14:paraId="5C90E6A7" w14:textId="77777777" w:rsidR="00CF59EF" w:rsidRDefault="000B5D37">
            <w:pPr>
              <w:spacing w:line="260" w:lineRule="atLeast"/>
              <w:rPr>
                <w:rFonts w:eastAsia="Calibri"/>
                <w:lang w:eastAsia="en-US"/>
              </w:rPr>
            </w:pPr>
            <w:r>
              <w:rPr>
                <w:rFonts w:eastAsia="Calibri"/>
                <w:lang w:eastAsia="en-US"/>
              </w:rPr>
              <w:t>20%: 0.8</w:t>
            </w:r>
          </w:p>
          <w:p w14:paraId="3DED7D0B" w14:textId="77777777" w:rsidR="00CF59EF" w:rsidRDefault="000B5D37">
            <w:pPr>
              <w:spacing w:line="260" w:lineRule="atLeast"/>
              <w:rPr>
                <w:rFonts w:eastAsia="Calibri"/>
                <w:lang w:eastAsia="en-US"/>
              </w:rPr>
            </w:pPr>
            <w:r>
              <w:rPr>
                <w:rFonts w:eastAsia="Calibri"/>
                <w:lang w:eastAsia="en-US"/>
              </w:rPr>
              <w:t>Vehicle (acetone): 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E2E9CF" w14:textId="77777777" w:rsidR="00CF59EF" w:rsidRDefault="000B5D37">
            <w:pPr>
              <w:spacing w:line="260" w:lineRule="atLeast"/>
              <w:rPr>
                <w:rFonts w:eastAsia="Calibri"/>
                <w:lang w:eastAsia="en-US"/>
              </w:rPr>
            </w:pPr>
            <w:r>
              <w:rPr>
                <w:rFonts w:eastAsia="Calibri"/>
                <w:lang w:eastAsia="en-US"/>
              </w:rPr>
              <w:t xml:space="preserve">Benzoic acid was one of 17 chemicals tested in order to validate the LLNA method. The known sensitizers produced satisfactory response and can be considered as positive controls (e.g. DNCB had a SI of 21.1 at 0.1%). </w:t>
            </w:r>
          </w:p>
          <w:p w14:paraId="4E3089BB" w14:textId="77777777" w:rsidR="00CF59EF" w:rsidRDefault="00CF59EF">
            <w:pPr>
              <w:spacing w:line="260" w:lineRule="atLeast"/>
              <w:rPr>
                <w:rFonts w:eastAsia="Calibri"/>
                <w:lang w:eastAsia="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20BB7A" w14:textId="77777777" w:rsidR="00CF59EF" w:rsidRDefault="000B5D37">
            <w:pPr>
              <w:spacing w:line="260" w:lineRule="atLeast"/>
              <w:rPr>
                <w:rFonts w:eastAsia="Calibri"/>
                <w:lang w:eastAsia="en-US"/>
              </w:rPr>
            </w:pPr>
            <w:r>
              <w:rPr>
                <w:rFonts w:eastAsia="Calibri"/>
                <w:lang w:eastAsia="en-US"/>
              </w:rPr>
              <w:t>2.2.6.1-3 (</w:t>
            </w:r>
            <w:proofErr w:type="spellStart"/>
            <w:r w:rsidR="005D5483" w:rsidRPr="002F4C58">
              <w:rPr>
                <w:rFonts w:eastAsia="Calibri"/>
                <w:highlight w:val="black"/>
              </w:rPr>
              <w:t>xxxxx</w:t>
            </w:r>
            <w:proofErr w:type="spellEnd"/>
            <w:r>
              <w:rPr>
                <w:rFonts w:eastAsia="Calibri"/>
                <w:lang w:eastAsia="en-US"/>
              </w:rPr>
              <w:t>)</w:t>
            </w:r>
          </w:p>
          <w:p w14:paraId="7DC50A6A" w14:textId="77777777" w:rsidR="00CF59EF" w:rsidRDefault="00CF59EF">
            <w:pPr>
              <w:spacing w:line="260" w:lineRule="atLeast"/>
              <w:rPr>
                <w:rFonts w:eastAsia="Calibri"/>
                <w:lang w:eastAsia="en-US"/>
              </w:rPr>
            </w:pPr>
          </w:p>
        </w:tc>
      </w:tr>
    </w:tbl>
    <w:p w14:paraId="691010E7" w14:textId="77777777" w:rsidR="00CF59EF" w:rsidRDefault="00CF59EF">
      <w:pPr>
        <w:spacing w:line="260" w:lineRule="atLeast"/>
        <w:rPr>
          <w:rFonts w:eastAsia="Calibri"/>
          <w:b/>
          <w:bCs/>
          <w:lang w:eastAsia="en-US"/>
        </w:rPr>
      </w:pPr>
    </w:p>
    <w:p w14:paraId="28656727" w14:textId="77777777" w:rsidR="00CF59EF" w:rsidRDefault="000B5D37">
      <w:pPr>
        <w:spacing w:line="260" w:lineRule="atLeast"/>
        <w:rPr>
          <w:rFonts w:eastAsia="Calibri"/>
          <w:lang w:eastAsia="en-US"/>
        </w:rPr>
      </w:pPr>
      <w:r>
        <w:rPr>
          <w:rFonts w:eastAsia="Calibri"/>
          <w:lang w:eastAsia="en-US"/>
        </w:rPr>
        <w:t xml:space="preserve">No human data are available. </w:t>
      </w:r>
    </w:p>
    <w:p w14:paraId="553318F6" w14:textId="77777777"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14:paraId="63047759"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24516E62" w14:textId="77777777" w:rsidR="00CF59EF" w:rsidRDefault="000B5D37">
            <w:pPr>
              <w:spacing w:line="260" w:lineRule="atLeast"/>
              <w:rPr>
                <w:rFonts w:eastAsia="Calibri"/>
                <w:b/>
                <w:bCs/>
                <w:lang w:eastAsia="en-US"/>
              </w:rPr>
            </w:pPr>
            <w:r>
              <w:rPr>
                <w:rFonts w:eastAsia="Calibri"/>
                <w:b/>
                <w:bCs/>
                <w:lang w:eastAsia="en-US"/>
              </w:rPr>
              <w:t>Conclusion used in Risk Assessment – Skin sensitisation</w:t>
            </w:r>
          </w:p>
        </w:tc>
      </w:tr>
      <w:tr w:rsidR="00CF59EF" w14:paraId="3AC52AE9" w14:textId="77777777">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D6371B1" w14:textId="77777777"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2B0D5D68" w14:textId="77777777" w:rsidR="00CF59EF" w:rsidRDefault="000B5D37">
            <w:pPr>
              <w:spacing w:line="260" w:lineRule="atLeast"/>
              <w:rPr>
                <w:rFonts w:eastAsia="Calibri"/>
                <w:lang w:eastAsia="en-US"/>
              </w:rPr>
            </w:pPr>
            <w:r>
              <w:rPr>
                <w:rFonts w:eastAsia="Calibri"/>
                <w:lang w:eastAsia="en-US"/>
              </w:rPr>
              <w:t xml:space="preserve">Not sensitizing </w:t>
            </w:r>
          </w:p>
        </w:tc>
      </w:tr>
      <w:tr w:rsidR="00CF59EF" w14:paraId="53C33999"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90BF51A" w14:textId="77777777"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AC6B2BA" w14:textId="77777777" w:rsidR="00CF59EF" w:rsidRDefault="000B5D37">
            <w:pPr>
              <w:spacing w:line="260" w:lineRule="atLeast"/>
              <w:rPr>
                <w:rFonts w:eastAsia="Calibri"/>
                <w:lang w:eastAsia="en-US"/>
              </w:rPr>
            </w:pPr>
            <w:r>
              <w:rPr>
                <w:rFonts w:eastAsia="Calibri"/>
                <w:lang w:eastAsia="en-US"/>
              </w:rPr>
              <w:t>Based on the negative result in the study performed comparable to the LLNA guideline with the read-across substance benzoic acid.</w:t>
            </w:r>
          </w:p>
        </w:tc>
      </w:tr>
      <w:tr w:rsidR="00CF59EF" w14:paraId="49DC6382"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3858CFC"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357E5053" w14:textId="77777777" w:rsidR="00CF59EF" w:rsidRDefault="000B5D37">
            <w:pPr>
              <w:spacing w:line="260" w:lineRule="atLeast"/>
              <w:rPr>
                <w:rFonts w:eastAsia="Calibri"/>
                <w:lang w:eastAsia="en-US"/>
              </w:rPr>
            </w:pPr>
            <w:r>
              <w:rPr>
                <w:rFonts w:eastAsia="Calibri"/>
                <w:lang w:eastAsia="en-US"/>
              </w:rPr>
              <w:t>Not classified</w:t>
            </w:r>
          </w:p>
        </w:tc>
      </w:tr>
    </w:tbl>
    <w:p w14:paraId="26E24686" w14:textId="77777777" w:rsidR="00A64B09" w:rsidRDefault="00A64B09">
      <w:pPr>
        <w:spacing w:line="260" w:lineRule="atLeast"/>
        <w:rPr>
          <w:rFonts w:eastAsia="Calibri"/>
          <w:lang w:eastAsia="en-US"/>
        </w:rPr>
      </w:pPr>
    </w:p>
    <w:p w14:paraId="51B8436B" w14:textId="77777777" w:rsidR="00CF59EF" w:rsidRDefault="000B5D37">
      <w:pPr>
        <w:rPr>
          <w:rFonts w:eastAsia="Calibri"/>
          <w:b/>
          <w:i/>
          <w:sz w:val="22"/>
          <w:szCs w:val="22"/>
          <w:lang w:eastAsia="en-US"/>
        </w:rPr>
      </w:pPr>
      <w:bookmarkStart w:id="1464" w:name="_Toc403472758"/>
      <w:bookmarkStart w:id="1465" w:name="_Toc389729053"/>
      <w:bookmarkEnd w:id="1464"/>
      <w:bookmarkEnd w:id="1465"/>
      <w:r>
        <w:rPr>
          <w:rFonts w:eastAsia="Calibri"/>
          <w:b/>
          <w:i/>
          <w:sz w:val="22"/>
          <w:szCs w:val="22"/>
          <w:lang w:eastAsia="en-US"/>
        </w:rPr>
        <w:t>Respiratory sensitization (ADS)</w:t>
      </w:r>
    </w:p>
    <w:p w14:paraId="24FF3750" w14:textId="77777777" w:rsidR="00CF59EF" w:rsidRDefault="00CF59EF">
      <w:pPr>
        <w:rPr>
          <w:rFonts w:eastAsia="Calibri"/>
          <w:b/>
          <w:i/>
          <w:sz w:val="22"/>
          <w:szCs w:val="22"/>
          <w:lang w:eastAsia="en-US"/>
        </w:rPr>
      </w:pPr>
    </w:p>
    <w:p w14:paraId="6DF9D0ED" w14:textId="77777777" w:rsidR="00CF59EF" w:rsidRDefault="000B5D37">
      <w:pPr>
        <w:rPr>
          <w:rFonts w:eastAsia="Calibri"/>
          <w:lang w:eastAsia="en-US"/>
        </w:rPr>
      </w:pPr>
      <w:r>
        <w:rPr>
          <w:rFonts w:eastAsia="Calibri"/>
          <w:lang w:eastAsia="en-US"/>
        </w:rPr>
        <w:t xml:space="preserve">No data are available. </w:t>
      </w:r>
    </w:p>
    <w:p w14:paraId="23D0FE46"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14:paraId="52929A59"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23B785BE" w14:textId="77777777" w:rsidR="00CF59EF" w:rsidRDefault="000B5D37">
            <w:pPr>
              <w:spacing w:line="260" w:lineRule="atLeast"/>
              <w:rPr>
                <w:rFonts w:eastAsia="Calibri"/>
                <w:lang w:eastAsia="en-US"/>
              </w:rPr>
            </w:pPr>
            <w:r>
              <w:rPr>
                <w:rFonts w:eastAsia="Calibri"/>
                <w:b/>
                <w:bCs/>
                <w:lang w:eastAsia="en-US"/>
              </w:rPr>
              <w:lastRenderedPageBreak/>
              <w:t>Conclusion</w:t>
            </w:r>
            <w:r>
              <w:rPr>
                <w:rFonts w:eastAsia="Calibri"/>
                <w:lang w:eastAsia="en-US"/>
              </w:rPr>
              <w:t xml:space="preserve"> </w:t>
            </w:r>
            <w:r>
              <w:rPr>
                <w:rFonts w:eastAsia="Calibri"/>
                <w:b/>
                <w:bCs/>
                <w:lang w:eastAsia="en-US"/>
              </w:rPr>
              <w:t>used in Risk Assessment – Respiratory sensitisation</w:t>
            </w:r>
          </w:p>
        </w:tc>
      </w:tr>
      <w:tr w:rsidR="00CF59EF" w14:paraId="4B5A4D2A" w14:textId="77777777">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D381761" w14:textId="77777777"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4BE5D647" w14:textId="77777777" w:rsidR="00CF59EF" w:rsidRDefault="000B5D37">
            <w:pPr>
              <w:spacing w:line="260" w:lineRule="atLeast"/>
              <w:rPr>
                <w:rFonts w:eastAsia="Calibri"/>
                <w:lang w:eastAsia="en-US"/>
              </w:rPr>
            </w:pPr>
            <w:r>
              <w:rPr>
                <w:rFonts w:eastAsia="Calibri"/>
                <w:lang w:eastAsia="en-US"/>
              </w:rPr>
              <w:t xml:space="preserve">Not sensitizing </w:t>
            </w:r>
          </w:p>
        </w:tc>
      </w:tr>
      <w:tr w:rsidR="00CF59EF" w14:paraId="0FCE4537"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624F2942" w14:textId="77777777"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1EEC37D" w14:textId="77777777" w:rsidR="00CF59EF" w:rsidRDefault="000B5D37">
            <w:pPr>
              <w:spacing w:line="260" w:lineRule="atLeast"/>
              <w:rPr>
                <w:rFonts w:eastAsia="Calibri"/>
                <w:lang w:eastAsia="en-US"/>
              </w:rPr>
            </w:pPr>
            <w:r>
              <w:rPr>
                <w:rFonts w:eastAsia="Calibri"/>
                <w:lang w:eastAsia="en-US"/>
              </w:rPr>
              <w:t xml:space="preserve">Based on the lack of skin sensitizing properties of benzoic acid, respiratory sensitization is not expected. Sodium benzoate is a widely used (food) preservative, however, no reports were found in public databases on respiratory effects observed in animal studies or in humans (CAPLUS and MEDLINE via </w:t>
            </w:r>
            <w:proofErr w:type="spellStart"/>
            <w:r>
              <w:rPr>
                <w:rFonts w:eastAsia="Calibri"/>
                <w:lang w:eastAsia="en-US"/>
              </w:rPr>
              <w:t>Scifinder</w:t>
            </w:r>
            <w:proofErr w:type="spellEnd"/>
            <w:r>
              <w:rPr>
                <w:rFonts w:eastAsia="Calibri"/>
                <w:lang w:eastAsia="en-US"/>
              </w:rPr>
              <w:t xml:space="preserve">). Evaluations by the WHO and the European Commission (published in 2000 and 2005, respectively) on benzoic acid and sodium benzoate do not mention respiratory sensitizing properties. </w:t>
            </w:r>
          </w:p>
        </w:tc>
      </w:tr>
      <w:tr w:rsidR="00CF59EF" w14:paraId="6C381F35" w14:textId="77777777">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7742084C"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3B454A17" w14:textId="77777777" w:rsidR="00CF59EF" w:rsidRDefault="000B5D37">
            <w:pPr>
              <w:spacing w:line="260" w:lineRule="atLeast"/>
              <w:rPr>
                <w:rFonts w:eastAsia="Calibri"/>
                <w:lang w:eastAsia="en-US"/>
              </w:rPr>
            </w:pPr>
            <w:r>
              <w:rPr>
                <w:rFonts w:eastAsia="Calibri"/>
                <w:lang w:eastAsia="en-US"/>
              </w:rPr>
              <w:t>Not classified</w:t>
            </w:r>
          </w:p>
        </w:tc>
      </w:tr>
    </w:tbl>
    <w:p w14:paraId="40121FB4" w14:textId="77777777"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14:paraId="2EFA49C4"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D9D9D9"/>
            <w:tcMar>
              <w:left w:w="108" w:type="dxa"/>
            </w:tcMar>
          </w:tcPr>
          <w:p w14:paraId="12570227" w14:textId="77777777" w:rsidR="00CF59EF" w:rsidRDefault="000B5D37">
            <w:pPr>
              <w:spacing w:line="260" w:lineRule="atLeast"/>
              <w:rPr>
                <w:rFonts w:eastAsia="Calibri"/>
                <w:b/>
                <w:lang w:eastAsia="en-US"/>
              </w:rPr>
            </w:pPr>
            <w:r>
              <w:rPr>
                <w:rFonts w:eastAsia="Calibri"/>
                <w:b/>
                <w:lang w:eastAsia="en-US"/>
              </w:rPr>
              <w:t>Data waiving</w:t>
            </w:r>
          </w:p>
        </w:tc>
      </w:tr>
      <w:tr w:rsidR="00CF59EF" w14:paraId="1FDDBAFA"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2ECB580" w14:textId="77777777" w:rsidR="00CF59EF" w:rsidRDefault="000B5D37">
            <w:pPr>
              <w:spacing w:line="260" w:lineRule="atLeast"/>
              <w:rPr>
                <w:rFonts w:eastAsia="Calibri"/>
                <w:lang w:eastAsia="en-US"/>
              </w:rPr>
            </w:pPr>
            <w:r>
              <w:rPr>
                <w:rFonts w:eastAsia="Calibri"/>
                <w:lang w:eastAsia="en-US"/>
              </w:rPr>
              <w:t>Information requirement</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5DFBCC69" w14:textId="77777777" w:rsidR="00CF59EF" w:rsidRDefault="000B5D37">
            <w:pPr>
              <w:spacing w:line="260" w:lineRule="atLeast"/>
              <w:rPr>
                <w:rFonts w:eastAsia="Calibri"/>
                <w:lang w:eastAsia="en-US"/>
              </w:rPr>
            </w:pPr>
            <w:r>
              <w:rPr>
                <w:rFonts w:eastAsia="Calibri"/>
                <w:lang w:eastAsia="en-US"/>
              </w:rPr>
              <w:t xml:space="preserve">Respiratory sensitization </w:t>
            </w:r>
          </w:p>
        </w:tc>
      </w:tr>
      <w:tr w:rsidR="00CF59EF" w14:paraId="37082DDB"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185AD2B4" w14:textId="77777777" w:rsidR="00CF59EF" w:rsidRDefault="000B5D37">
            <w:pPr>
              <w:spacing w:line="260" w:lineRule="atLeast"/>
              <w:rPr>
                <w:rFonts w:eastAsia="Calibri"/>
                <w:lang w:eastAsia="en-US"/>
              </w:rPr>
            </w:pPr>
            <w:r>
              <w:rPr>
                <w:rFonts w:eastAsia="Calibri"/>
                <w:lang w:eastAsia="en-US"/>
              </w:rPr>
              <w:t>Justification</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6F51FA9C" w14:textId="77777777" w:rsidR="00CF59EF" w:rsidRDefault="000B5D37">
            <w:pPr>
              <w:spacing w:line="260" w:lineRule="atLeast"/>
              <w:rPr>
                <w:rFonts w:eastAsia="Calibri"/>
                <w:lang w:eastAsia="en-US"/>
              </w:rPr>
            </w:pPr>
            <w:r>
              <w:rPr>
                <w:rFonts w:eastAsia="Calibri"/>
                <w:lang w:eastAsia="en-US"/>
              </w:rPr>
              <w:t>Based on the lack of skin sensitizing properties of benzoic acid, respiratory sensitization is not expected. Furthermore, sodium benzoate is a widely used substance; however, no evidence of respiratory sensitization has been reported in the literature.</w:t>
            </w:r>
          </w:p>
        </w:tc>
      </w:tr>
    </w:tbl>
    <w:p w14:paraId="4FD3F5B6" w14:textId="77777777" w:rsidR="00187B92" w:rsidRDefault="00187B92">
      <w:pPr>
        <w:spacing w:line="260" w:lineRule="atLeast"/>
        <w:rPr>
          <w:rFonts w:eastAsia="Calibri"/>
          <w:lang w:eastAsia="en-US"/>
        </w:rPr>
      </w:pPr>
    </w:p>
    <w:p w14:paraId="11862814" w14:textId="77777777" w:rsidR="00CF59EF" w:rsidRDefault="000B5D37">
      <w:pPr>
        <w:rPr>
          <w:rFonts w:eastAsia="Calibri"/>
          <w:b/>
          <w:i/>
          <w:sz w:val="22"/>
          <w:szCs w:val="22"/>
          <w:lang w:eastAsia="en-US"/>
        </w:rPr>
      </w:pPr>
      <w:bookmarkStart w:id="1466" w:name="_Toc403472759"/>
      <w:bookmarkStart w:id="1467" w:name="_Toc389729054"/>
      <w:bookmarkEnd w:id="1466"/>
      <w:bookmarkEnd w:id="1467"/>
      <w:r>
        <w:rPr>
          <w:rFonts w:eastAsia="Calibri"/>
          <w:b/>
          <w:i/>
          <w:sz w:val="22"/>
          <w:szCs w:val="22"/>
          <w:lang w:eastAsia="en-US"/>
        </w:rPr>
        <w:t>Acute toxicity</w:t>
      </w:r>
    </w:p>
    <w:p w14:paraId="62BC3C63" w14:textId="77777777" w:rsidR="00CF59EF" w:rsidRDefault="000B5D37">
      <w:pPr>
        <w:rPr>
          <w:rFonts w:eastAsia="Calibri"/>
          <w:i/>
          <w:u w:val="single"/>
          <w:lang w:eastAsia="en-US"/>
        </w:rPr>
      </w:pPr>
      <w:bookmarkStart w:id="1468" w:name="_Toc389729055"/>
      <w:bookmarkEnd w:id="1468"/>
      <w:r>
        <w:rPr>
          <w:rFonts w:eastAsia="Calibri"/>
          <w:i/>
          <w:u w:val="single"/>
          <w:lang w:eastAsia="en-US"/>
        </w:rPr>
        <w:t>Acute toxicity by oral route</w:t>
      </w:r>
    </w:p>
    <w:p w14:paraId="6A6599D9" w14:textId="77777777" w:rsidR="00CF59EF" w:rsidRDefault="00CF59EF">
      <w:pPr>
        <w:spacing w:line="260" w:lineRule="atLeast"/>
        <w:rPr>
          <w:rFonts w:eastAsia="Calibri"/>
          <w:b/>
          <w:bCs/>
          <w:lang w:eastAsia="en-US"/>
        </w:rPr>
      </w:pPr>
    </w:p>
    <w:tbl>
      <w:tblPr>
        <w:tblW w:w="9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384"/>
        <w:gridCol w:w="1271"/>
        <w:gridCol w:w="1787"/>
        <w:gridCol w:w="1407"/>
        <w:gridCol w:w="905"/>
        <w:gridCol w:w="1258"/>
        <w:gridCol w:w="1272"/>
      </w:tblGrid>
      <w:tr w:rsidR="00CF59EF" w14:paraId="6CE7B5C5" w14:textId="77777777">
        <w:tc>
          <w:tcPr>
            <w:tcW w:w="9283" w:type="dxa"/>
            <w:gridSpan w:val="7"/>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56CC0BA6" w14:textId="77777777" w:rsidR="00CF59EF" w:rsidRDefault="000B5D37">
            <w:pPr>
              <w:spacing w:line="260" w:lineRule="atLeast"/>
              <w:jc w:val="center"/>
              <w:rPr>
                <w:rFonts w:eastAsia="Calibri"/>
                <w:b/>
                <w:lang w:eastAsia="en-US"/>
              </w:rPr>
            </w:pPr>
            <w:r>
              <w:rPr>
                <w:rFonts w:eastAsia="Calibri"/>
                <w:b/>
                <w:lang w:eastAsia="en-US"/>
              </w:rPr>
              <w:t>Summary table of animal studies on acute oral toxicity</w:t>
            </w:r>
          </w:p>
        </w:tc>
      </w:tr>
      <w:tr w:rsidR="00CF59EF" w14:paraId="3ECD05B7" w14:textId="77777777">
        <w:tc>
          <w:tcPr>
            <w:tcW w:w="14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3537F0" w14:textId="77777777" w:rsidR="00CF59EF" w:rsidRDefault="000B5D37">
            <w:pPr>
              <w:keepNext/>
              <w:spacing w:line="260" w:lineRule="atLeast"/>
              <w:rPr>
                <w:rFonts w:eastAsia="Calibri"/>
                <w:b/>
                <w:bCs/>
                <w:lang w:eastAsia="en-GB"/>
              </w:rPr>
            </w:pPr>
            <w:r>
              <w:rPr>
                <w:rFonts w:eastAsia="Calibri"/>
                <w:b/>
                <w:bCs/>
                <w:lang w:eastAsia="en-GB"/>
              </w:rPr>
              <w:t>Method Guideline</w:t>
            </w:r>
          </w:p>
          <w:p w14:paraId="64AF9EEB" w14:textId="77777777" w:rsidR="00CF59EF" w:rsidRDefault="000B5D37">
            <w:pPr>
              <w:spacing w:line="260" w:lineRule="atLeast"/>
              <w:rPr>
                <w:rFonts w:eastAsia="Calibri"/>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708812" w14:textId="77777777"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20E731" w14:textId="77777777" w:rsidR="00CF59EF" w:rsidRDefault="000B5D37">
            <w:pPr>
              <w:spacing w:line="260" w:lineRule="atLeast"/>
              <w:rPr>
                <w:rFonts w:eastAsia="Calibri"/>
                <w:b/>
                <w:lang w:eastAsia="en-GB"/>
              </w:rPr>
            </w:pPr>
            <w:r>
              <w:rPr>
                <w:rFonts w:eastAsia="Calibri"/>
                <w:b/>
                <w:lang w:eastAsia="en-GB"/>
              </w:rPr>
              <w:t>Test substance</w:t>
            </w:r>
          </w:p>
          <w:p w14:paraId="615215AB" w14:textId="77777777" w:rsidR="00CF59EF" w:rsidRDefault="000B5D37">
            <w:pPr>
              <w:spacing w:line="260" w:lineRule="atLeast"/>
              <w:rPr>
                <w:rFonts w:eastAsia="Calibri"/>
                <w:lang w:eastAsia="en-US"/>
              </w:rPr>
            </w:pPr>
            <w:r>
              <w:rPr>
                <w:rFonts w:eastAsia="Calibri"/>
                <w:b/>
                <w:lang w:eastAsia="en-GB"/>
              </w:rPr>
              <w:t xml:space="preserve">Dose </w:t>
            </w:r>
            <w:proofErr w:type="spellStart"/>
            <w:r>
              <w:rPr>
                <w:rFonts w:eastAsia="Calibri"/>
                <w:b/>
                <w:lang w:eastAsia="en-GB"/>
              </w:rPr>
              <w:t>levelsType</w:t>
            </w:r>
            <w:proofErr w:type="spellEnd"/>
            <w:r>
              <w:rPr>
                <w:rFonts w:eastAsia="Calibri"/>
                <w:b/>
                <w:lang w:eastAsia="en-GB"/>
              </w:rPr>
              <w:t xml:space="preserve"> of administration </w:t>
            </w:r>
            <w:r>
              <w:rPr>
                <w:rFonts w:eastAsia="Calibri"/>
                <w:i/>
                <w:color w:val="000000"/>
                <w:lang w:eastAsia="en-GB"/>
              </w:rPr>
              <w:t>(gavage, in diet, other)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163D47" w14:textId="77777777"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6139A5CE" w14:textId="77777777" w:rsidR="00CF59EF" w:rsidRDefault="000B5D37">
            <w:pPr>
              <w:spacing w:line="260" w:lineRule="atLeast"/>
              <w:rPr>
                <w:rFonts w:eastAsia="Calibri"/>
                <w:b/>
                <w:lang w:eastAsia="en-US"/>
              </w:rPr>
            </w:pPr>
            <w:r>
              <w:rPr>
                <w:rFonts w:eastAsia="Calibri"/>
                <w:b/>
                <w:lang w:eastAsia="en-US"/>
              </w:rPr>
              <w:t>Value</w:t>
            </w:r>
            <w:r>
              <w:rPr>
                <w:rFonts w:eastAsia="Calibri"/>
                <w:b/>
                <w:lang w:eastAsia="en-US"/>
              </w:rPr>
              <w:br/>
              <w:t>LD50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9AC7F1" w14:textId="77777777" w:rsidR="00CF59EF" w:rsidRDefault="000B5D37">
            <w:pPr>
              <w:spacing w:line="260" w:lineRule="atLeast"/>
              <w:rPr>
                <w:rFonts w:eastAsia="Calibri"/>
                <w:lang w:eastAsia="en-US"/>
              </w:rPr>
            </w:pPr>
            <w:r>
              <w:rPr>
                <w:rFonts w:eastAsia="Calibri"/>
                <w:b/>
                <w:lang w:eastAsia="en-GB"/>
              </w:rPr>
              <w:t xml:space="preserve">Remarks </w:t>
            </w:r>
            <w:r>
              <w:rPr>
                <w:rFonts w:eastAsia="Calibri"/>
                <w:i/>
                <w:lang w:eastAsia="en-GB"/>
              </w:rPr>
              <w:t>(e.g. major deviations)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7BF56F45" w14:textId="77777777" w:rsidR="00CF59EF" w:rsidRDefault="000B5D37">
            <w:pPr>
              <w:spacing w:line="260" w:lineRule="atLeast"/>
              <w:rPr>
                <w:rFonts w:eastAsia="Calibri"/>
                <w:b/>
                <w:lang w:eastAsia="en-US"/>
              </w:rPr>
            </w:pPr>
            <w:r>
              <w:rPr>
                <w:rFonts w:eastAsia="Calibri"/>
                <w:b/>
                <w:lang w:eastAsia="en-US"/>
              </w:rPr>
              <w:t xml:space="preserve">Reference </w:t>
            </w:r>
          </w:p>
          <w:p w14:paraId="11BA9AB0" w14:textId="77777777" w:rsidR="00CF59EF" w:rsidRDefault="00CF59EF">
            <w:pPr>
              <w:spacing w:line="260" w:lineRule="atLeast"/>
              <w:rPr>
                <w:rFonts w:eastAsia="Calibri"/>
                <w:lang w:eastAsia="en-US"/>
              </w:rPr>
            </w:pPr>
          </w:p>
        </w:tc>
      </w:tr>
      <w:tr w:rsidR="00CF59EF" w14:paraId="02DA3349" w14:textId="77777777">
        <w:tc>
          <w:tcPr>
            <w:tcW w:w="14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6104A9" w14:textId="77777777" w:rsidR="00CF59EF" w:rsidRDefault="000B5D37">
            <w:pPr>
              <w:spacing w:line="260" w:lineRule="atLeast"/>
              <w:rPr>
                <w:rFonts w:eastAsia="Calibri"/>
                <w:lang w:eastAsia="en-US"/>
              </w:rPr>
            </w:pPr>
            <w:r>
              <w:rPr>
                <w:rFonts w:eastAsia="Calibri"/>
                <w:lang w:eastAsia="en-US"/>
              </w:rPr>
              <w:t xml:space="preserve">Non-guideline, predates GLP, performed as a part of genotoxicity screening assay, oral gavage, limit test, 10 days observation period, gross necropsy </w:t>
            </w:r>
            <w:r>
              <w:rPr>
                <w:rFonts w:eastAsia="Calibri"/>
                <w:lang w:eastAsia="en-US"/>
              </w:rPr>
              <w:lastRenderedPageBreak/>
              <w:t>performed, reliability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FCB6A9" w14:textId="77777777" w:rsidR="00CF59EF" w:rsidRDefault="000B5D37">
            <w:pPr>
              <w:spacing w:line="260" w:lineRule="atLeast"/>
              <w:rPr>
                <w:rFonts w:eastAsia="Calibri"/>
                <w:lang w:eastAsia="en-US"/>
              </w:rPr>
            </w:pPr>
            <w:r>
              <w:rPr>
                <w:rFonts w:eastAsia="Calibri"/>
                <w:lang w:eastAsia="en-US"/>
              </w:rPr>
              <w:lastRenderedPageBreak/>
              <w:t>Rat, unspecified strains, 2 and 10 males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F8677B" w14:textId="77777777" w:rsidR="00CF59EF" w:rsidRDefault="000B5D37">
            <w:pPr>
              <w:spacing w:line="260" w:lineRule="atLeast"/>
              <w:rPr>
                <w:rFonts w:eastAsia="Calibri"/>
                <w:lang w:eastAsia="en-US"/>
              </w:rPr>
            </w:pPr>
            <w:r>
              <w:rPr>
                <w:rFonts w:eastAsia="Calibri"/>
                <w:lang w:eastAsia="en-US"/>
              </w:rPr>
              <w:t xml:space="preserve">Sodium benzoate, 5000 mg/kg </w:t>
            </w:r>
            <w:proofErr w:type="spellStart"/>
            <w:r>
              <w:rPr>
                <w:rFonts w:eastAsia="Calibri"/>
                <w:lang w:eastAsia="en-US"/>
              </w:rPr>
              <w:t>bw</w:t>
            </w:r>
            <w:proofErr w:type="spellEnd"/>
            <w:r>
              <w:rPr>
                <w:rFonts w:eastAsia="Calibri"/>
                <w:lang w:eastAsia="en-US"/>
              </w:rPr>
              <w:t xml:space="preserve"> as 0.85% in saline, gavage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A6BDB6" w14:textId="77777777" w:rsidR="00CF59EF" w:rsidRDefault="000B5D37">
            <w:pPr>
              <w:spacing w:line="260" w:lineRule="atLeast"/>
              <w:rPr>
                <w:rFonts w:eastAsia="Calibri"/>
                <w:lang w:eastAsia="en-US"/>
              </w:rPr>
            </w:pPr>
            <w:r>
              <w:rPr>
                <w:rFonts w:eastAsia="Calibri"/>
                <w:lang w:eastAsia="en-US"/>
              </w:rPr>
              <w:t>There were no mortalities and no abnormal gross findings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C8DBC3" w14:textId="77777777" w:rsidR="00CF59EF" w:rsidRDefault="000B5D37">
            <w:pPr>
              <w:spacing w:line="260" w:lineRule="atLeast"/>
              <w:rPr>
                <w:rFonts w:eastAsia="Calibri"/>
                <w:lang w:eastAsia="en-US"/>
              </w:rPr>
            </w:pPr>
            <w:r>
              <w:rPr>
                <w:rFonts w:eastAsia="Calibri"/>
                <w:lang w:eastAsia="en-US"/>
              </w:rPr>
              <w:t xml:space="preserve">LD50 &gt; 5000 mg/kg </w:t>
            </w:r>
            <w:proofErr w:type="spellStart"/>
            <w:r>
              <w:rPr>
                <w:rFonts w:eastAsia="Calibri"/>
                <w:lang w:eastAsia="en-US"/>
              </w:rPr>
              <w:t>bw</w:t>
            </w:r>
            <w:proofErr w:type="spell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A3B038" w14:textId="77777777" w:rsidR="00CF59EF" w:rsidRDefault="00CF59EF">
            <w:pPr>
              <w:spacing w:line="260" w:lineRule="atLeast"/>
              <w:rPr>
                <w:rFonts w:eastAsia="Calibri"/>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AC08CC" w14:textId="77777777" w:rsidR="00CF59EF" w:rsidRDefault="000B5D37">
            <w:pPr>
              <w:spacing w:line="260" w:lineRule="atLeast"/>
              <w:rPr>
                <w:rFonts w:eastAsia="Calibri"/>
                <w:lang w:eastAsia="en-US"/>
              </w:rPr>
            </w:pPr>
            <w:r>
              <w:rPr>
                <w:rFonts w:eastAsia="Calibri"/>
                <w:lang w:eastAsia="en-US"/>
              </w:rPr>
              <w:t>2.2.6.1- 4 (</w:t>
            </w:r>
            <w:proofErr w:type="spellStart"/>
            <w:r w:rsidR="005D5483" w:rsidRPr="002F4C58">
              <w:rPr>
                <w:rFonts w:eastAsia="Calibri"/>
                <w:highlight w:val="black"/>
              </w:rPr>
              <w:t>xxxxx</w:t>
            </w:r>
            <w:proofErr w:type="spellEnd"/>
            <w:r>
              <w:rPr>
                <w:rFonts w:eastAsia="Calibri"/>
                <w:lang w:eastAsia="en-US"/>
              </w:rPr>
              <w:t>)</w:t>
            </w:r>
          </w:p>
        </w:tc>
      </w:tr>
    </w:tbl>
    <w:p w14:paraId="07EE1B57" w14:textId="77777777" w:rsidR="00CF59EF" w:rsidRDefault="00CF59EF">
      <w:pPr>
        <w:spacing w:line="260" w:lineRule="atLeast"/>
        <w:rPr>
          <w:rFonts w:ascii="Times New Roman" w:eastAsia="Calibri" w:hAnsi="Times New Roman"/>
          <w:i/>
          <w:iCs/>
          <w:lang w:eastAsia="en-US"/>
        </w:rPr>
      </w:pPr>
    </w:p>
    <w:p w14:paraId="549B8557" w14:textId="77777777" w:rsidR="00CF59EF" w:rsidRDefault="00CF59EF">
      <w:pPr>
        <w:spacing w:line="260" w:lineRule="atLeast"/>
        <w:rPr>
          <w:rFonts w:eastAsia="Calibri"/>
          <w:lang w:eastAsia="en-US"/>
        </w:rPr>
      </w:pPr>
    </w:p>
    <w:p w14:paraId="6D5735EE" w14:textId="77777777" w:rsidR="00CF59EF" w:rsidRDefault="000B5D37">
      <w:pPr>
        <w:spacing w:line="260" w:lineRule="atLeast"/>
        <w:rPr>
          <w:rFonts w:eastAsia="Calibri"/>
          <w:lang w:eastAsia="en-US"/>
        </w:rPr>
      </w:pPr>
      <w:r>
        <w:rPr>
          <w:rFonts w:eastAsia="Calibri"/>
          <w:lang w:eastAsia="en-US"/>
        </w:rPr>
        <w:t xml:space="preserve">It is of note that the World Health Organization concluded in 2000 that the acute oral toxicity of sodium benzoate was low, with an LD50 value between 2100–4070 mg /kg </w:t>
      </w:r>
      <w:proofErr w:type="spellStart"/>
      <w:r>
        <w:rPr>
          <w:rFonts w:eastAsia="Calibri"/>
          <w:lang w:eastAsia="en-US"/>
        </w:rPr>
        <w:t>bw</w:t>
      </w:r>
      <w:proofErr w:type="spellEnd"/>
      <w:r>
        <w:rPr>
          <w:rFonts w:eastAsia="Calibri"/>
          <w:lang w:eastAsia="en-US"/>
        </w:rPr>
        <w:t xml:space="preserve"> in rats. Furthermore it was concluded that the acute toxicity (and the symptoms) of sodium benzoate was similar to that of benzoic acid (3040 mg benzoic acid/kg </w:t>
      </w:r>
      <w:proofErr w:type="spellStart"/>
      <w:r>
        <w:rPr>
          <w:rFonts w:eastAsia="Calibri"/>
          <w:lang w:eastAsia="en-US"/>
        </w:rPr>
        <w:t>bw</w:t>
      </w:r>
      <w:proofErr w:type="spellEnd"/>
      <w:r>
        <w:rPr>
          <w:rFonts w:eastAsia="Calibri"/>
          <w:lang w:eastAsia="en-US"/>
        </w:rPr>
        <w:t xml:space="preserve"> in rats and 1940–2263 mg benzoic acid/kg </w:t>
      </w:r>
      <w:proofErr w:type="spellStart"/>
      <w:r>
        <w:rPr>
          <w:rFonts w:eastAsia="Calibri"/>
          <w:lang w:eastAsia="en-US"/>
        </w:rPr>
        <w:t>bw</w:t>
      </w:r>
      <w:proofErr w:type="spellEnd"/>
      <w:r>
        <w:rPr>
          <w:rFonts w:eastAsia="Calibri"/>
          <w:lang w:eastAsia="en-US"/>
        </w:rPr>
        <w:t xml:space="preserve"> in mice).</w:t>
      </w:r>
    </w:p>
    <w:p w14:paraId="45BCEC7D" w14:textId="77777777" w:rsidR="00CF59EF" w:rsidRDefault="00CF59EF">
      <w:pPr>
        <w:spacing w:line="260" w:lineRule="atLeast"/>
        <w:rPr>
          <w:rFonts w:eastAsia="Calibri"/>
          <w:lang w:eastAsia="en-US"/>
        </w:rPr>
      </w:pPr>
    </w:p>
    <w:p w14:paraId="7BC94927" w14:textId="77777777" w:rsidR="00CF59EF" w:rsidRDefault="000B5D37">
      <w:pPr>
        <w:spacing w:line="260" w:lineRule="atLeast"/>
        <w:rPr>
          <w:rFonts w:eastAsia="Calibri"/>
          <w:lang w:eastAsia="en-US"/>
        </w:rPr>
      </w:pPr>
      <w:r>
        <w:rPr>
          <w:rFonts w:eastAsia="Calibri"/>
          <w:lang w:eastAsia="en-US"/>
        </w:rPr>
        <w:t>Human data:</w:t>
      </w:r>
    </w:p>
    <w:p w14:paraId="740863E3" w14:textId="77777777" w:rsidR="00CF59EF" w:rsidRDefault="00CF59EF">
      <w:pPr>
        <w:spacing w:line="260" w:lineRule="atLeast"/>
        <w:rPr>
          <w:rFonts w:eastAsia="Calibri"/>
          <w:lang w:eastAsia="en-US"/>
        </w:rPr>
      </w:pPr>
    </w:p>
    <w:p w14:paraId="00ECEC16" w14:textId="77777777" w:rsidR="00CF59EF" w:rsidRDefault="000B5D37">
      <w:pPr>
        <w:spacing w:line="260" w:lineRule="atLeast"/>
        <w:rPr>
          <w:rFonts w:eastAsia="Calibri"/>
          <w:lang w:eastAsia="en-US"/>
        </w:rPr>
      </w:pPr>
      <w:r>
        <w:rPr>
          <w:rFonts w:eastAsia="Calibri"/>
          <w:lang w:eastAsia="en-US"/>
        </w:rPr>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 xml:space="preserve">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current maximum of 0.1% in food. There are no indications of acute toxicity of sodium benzoate in humans. </w:t>
      </w:r>
    </w:p>
    <w:p w14:paraId="1C29BBC5" w14:textId="77777777"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84"/>
        <w:gridCol w:w="7372"/>
      </w:tblGrid>
      <w:tr w:rsidR="00CF59EF" w14:paraId="31A20928" w14:textId="77777777">
        <w:tc>
          <w:tcPr>
            <w:tcW w:w="935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08153BC1" w14:textId="77777777" w:rsidR="00CF59EF" w:rsidRDefault="000B5D37">
            <w:pPr>
              <w:spacing w:line="260" w:lineRule="atLeast"/>
              <w:rPr>
                <w:rFonts w:eastAsia="Calibri"/>
                <w:b/>
                <w:bCs/>
                <w:lang w:eastAsia="en-US"/>
              </w:rPr>
            </w:pPr>
            <w:r>
              <w:rPr>
                <w:rFonts w:eastAsia="Calibri"/>
                <w:b/>
                <w:bCs/>
                <w:lang w:eastAsia="en-US"/>
              </w:rPr>
              <w:t>Value used in the Risk Assessment – Acute oral toxicity</w:t>
            </w:r>
          </w:p>
        </w:tc>
      </w:tr>
      <w:tr w:rsidR="00CF59EF" w14:paraId="5515C5D9"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04621E8" w14:textId="77777777"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0D8F7F5D" w14:textId="77777777" w:rsidR="00CF59EF" w:rsidRDefault="000B5D37">
            <w:pPr>
              <w:spacing w:line="260" w:lineRule="atLeast"/>
              <w:rPr>
                <w:rFonts w:eastAsia="Calibri"/>
                <w:lang w:eastAsia="en-US"/>
              </w:rPr>
            </w:pPr>
            <w:r>
              <w:rPr>
                <w:rFonts w:eastAsia="Calibri"/>
                <w:lang w:eastAsia="en-US"/>
              </w:rPr>
              <w:t xml:space="preserve">LD50 &gt; 2000 mg/kg </w:t>
            </w:r>
            <w:proofErr w:type="spellStart"/>
            <w:r>
              <w:rPr>
                <w:rFonts w:eastAsia="Calibri"/>
                <w:lang w:eastAsia="en-US"/>
              </w:rPr>
              <w:t>bw</w:t>
            </w:r>
            <w:proofErr w:type="spellEnd"/>
          </w:p>
        </w:tc>
      </w:tr>
      <w:tr w:rsidR="00CF59EF" w14:paraId="3D9529BB"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F53FAB9" w14:textId="77777777"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3C6681F" w14:textId="77777777" w:rsidR="00CF59EF" w:rsidRDefault="000B5D37">
            <w:pPr>
              <w:spacing w:line="260" w:lineRule="atLeast"/>
              <w:rPr>
                <w:rFonts w:eastAsia="Calibri"/>
                <w:lang w:eastAsia="en-US"/>
              </w:rPr>
            </w:pPr>
            <w:r>
              <w:rPr>
                <w:rFonts w:eastAsia="Calibri"/>
                <w:lang w:eastAsia="en-US"/>
              </w:rPr>
              <w:t>Based on the results of one acceptable acute toxicity study with rats, taking into account evaluations by WHO, JECFA, SCF, EFSA and FDA.</w:t>
            </w:r>
          </w:p>
        </w:tc>
      </w:tr>
      <w:tr w:rsidR="00CF59EF" w14:paraId="6F371F9F"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1E6EB4D1"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81B6D27" w14:textId="77777777" w:rsidR="00CF59EF" w:rsidRDefault="000B5D37">
            <w:pPr>
              <w:spacing w:line="260" w:lineRule="atLeast"/>
              <w:rPr>
                <w:rFonts w:eastAsia="Calibri"/>
                <w:lang w:eastAsia="en-US"/>
              </w:rPr>
            </w:pPr>
            <w:r>
              <w:rPr>
                <w:rFonts w:eastAsia="Calibri"/>
                <w:lang w:eastAsia="en-US"/>
              </w:rPr>
              <w:t xml:space="preserve">Not classified </w:t>
            </w:r>
          </w:p>
        </w:tc>
      </w:tr>
    </w:tbl>
    <w:p w14:paraId="30C50848" w14:textId="77777777" w:rsidR="00CF59EF" w:rsidRDefault="00CF59EF">
      <w:pPr>
        <w:spacing w:line="260" w:lineRule="atLeast"/>
        <w:rPr>
          <w:rFonts w:eastAsia="Calibri"/>
          <w:lang w:eastAsia="en-US"/>
        </w:rPr>
      </w:pPr>
    </w:p>
    <w:p w14:paraId="11DB6CD4" w14:textId="77777777" w:rsidR="00CF59EF" w:rsidRDefault="000B5D37">
      <w:pPr>
        <w:rPr>
          <w:rFonts w:eastAsia="Calibri"/>
          <w:i/>
          <w:u w:val="single"/>
          <w:lang w:eastAsia="en-US"/>
        </w:rPr>
      </w:pPr>
      <w:bookmarkStart w:id="1469" w:name="_Toc389729056"/>
      <w:bookmarkEnd w:id="1469"/>
      <w:r>
        <w:rPr>
          <w:rFonts w:eastAsia="Calibri"/>
          <w:i/>
          <w:u w:val="single"/>
          <w:lang w:eastAsia="en-US"/>
        </w:rPr>
        <w:t>Acute toxicity by inhalation</w:t>
      </w:r>
    </w:p>
    <w:p w14:paraId="29EABD1C" w14:textId="77777777" w:rsidR="00CF59EF" w:rsidRDefault="00CF59EF">
      <w:pPr>
        <w:spacing w:line="260" w:lineRule="atLeast"/>
        <w:rPr>
          <w:rFonts w:eastAsia="Calibri"/>
          <w:b/>
          <w:bCs/>
          <w:lang w:eastAsia="en-US"/>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384"/>
        <w:gridCol w:w="1418"/>
        <w:gridCol w:w="1701"/>
        <w:gridCol w:w="1417"/>
        <w:gridCol w:w="851"/>
        <w:gridCol w:w="1275"/>
        <w:gridCol w:w="1276"/>
      </w:tblGrid>
      <w:tr w:rsidR="00CF59EF" w14:paraId="3000DB3B" w14:textId="77777777" w:rsidTr="00CD3957">
        <w:trPr>
          <w:trHeight w:val="553"/>
        </w:trPr>
        <w:tc>
          <w:tcPr>
            <w:tcW w:w="9322" w:type="dxa"/>
            <w:gridSpan w:val="7"/>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D65A893" w14:textId="77777777" w:rsidR="00CF59EF" w:rsidRDefault="000B5D37">
            <w:pPr>
              <w:spacing w:line="260" w:lineRule="atLeast"/>
              <w:jc w:val="center"/>
              <w:rPr>
                <w:rFonts w:eastAsia="Calibri"/>
                <w:b/>
                <w:lang w:eastAsia="en-US"/>
              </w:rPr>
            </w:pPr>
            <w:r>
              <w:rPr>
                <w:rFonts w:eastAsia="Calibri"/>
                <w:b/>
                <w:lang w:eastAsia="en-US"/>
              </w:rPr>
              <w:t>Summary table of animal studies on acute inhalation toxicity</w:t>
            </w:r>
          </w:p>
        </w:tc>
      </w:tr>
      <w:tr w:rsidR="008D3FA2" w14:paraId="1D57A27D" w14:textId="77777777" w:rsidTr="00CD3957">
        <w:trPr>
          <w:trHeight w:val="2177"/>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73961" w14:textId="77777777" w:rsidR="008D3FA2" w:rsidRDefault="008D3FA2">
            <w:pPr>
              <w:keepNext/>
              <w:spacing w:line="260" w:lineRule="atLeast"/>
              <w:rPr>
                <w:rFonts w:eastAsia="Calibri"/>
                <w:b/>
                <w:lang w:eastAsia="en-GB"/>
              </w:rPr>
            </w:pPr>
            <w:r>
              <w:rPr>
                <w:rFonts w:eastAsia="Calibri"/>
                <w:b/>
                <w:lang w:eastAsia="en-GB"/>
              </w:rPr>
              <w:lastRenderedPageBreak/>
              <w:t>Method,</w:t>
            </w:r>
            <w:r>
              <w:rPr>
                <w:rFonts w:eastAsia="Calibri"/>
                <w:b/>
                <w:lang w:eastAsia="en-GB"/>
              </w:rPr>
              <w:br/>
              <w:t>Guideline,</w:t>
            </w:r>
          </w:p>
          <w:p w14:paraId="60911AFF" w14:textId="77777777" w:rsidR="008D3FA2" w:rsidRDefault="008D3FA2">
            <w:pPr>
              <w:spacing w:line="260" w:lineRule="atLeast"/>
              <w:rPr>
                <w:rFonts w:eastAsia="Calibri"/>
                <w:lang w:eastAsia="en-US"/>
              </w:rPr>
            </w:pPr>
            <w:r>
              <w:rPr>
                <w:rFonts w:eastAsia="Calibri"/>
                <w:b/>
                <w:lang w:eastAsia="en-GB"/>
              </w:rPr>
              <w:t>GLP status , Reliability</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5A3E5" w14:textId="77777777" w:rsidR="008D3FA2" w:rsidRDefault="008D3FA2">
            <w:pPr>
              <w:spacing w:line="260" w:lineRule="atLeast"/>
              <w:rPr>
                <w:rFonts w:eastAsia="Calibri"/>
                <w:lang w:eastAsia="en-US"/>
              </w:rPr>
            </w:pPr>
            <w:r>
              <w:rPr>
                <w:rFonts w:eastAsia="Calibri"/>
                <w:b/>
                <w:lang w:eastAsia="en-GB"/>
              </w:rPr>
              <w:t>Species,</w:t>
            </w:r>
            <w:r>
              <w:rPr>
                <w:rFonts w:eastAsia="Calibri"/>
                <w:b/>
                <w:lang w:eastAsia="en-GB"/>
              </w:rPr>
              <w:br/>
              <w:t>Strain,</w:t>
            </w:r>
            <w:r>
              <w:rPr>
                <w:rFonts w:eastAsia="Calibri"/>
                <w:b/>
                <w:lang w:eastAsia="en-GB"/>
              </w:rPr>
              <w:br/>
              <w:t>Sex,</w:t>
            </w:r>
            <w:r>
              <w:rPr>
                <w:rFonts w:eastAsia="Calibri"/>
                <w:b/>
                <w:lang w:eastAsia="en-GB"/>
              </w:rPr>
              <w:br/>
              <w:t>No/group</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D5A4F" w14:textId="77777777" w:rsidR="008D3FA2" w:rsidRDefault="008D3FA2">
            <w:pPr>
              <w:keepNext/>
              <w:spacing w:line="260" w:lineRule="atLeast"/>
              <w:rPr>
                <w:rFonts w:eastAsia="Calibri"/>
                <w:b/>
                <w:lang w:eastAsia="en-GB"/>
              </w:rPr>
            </w:pPr>
            <w:r>
              <w:rPr>
                <w:rFonts w:eastAsia="Calibri"/>
                <w:b/>
                <w:lang w:eastAsia="en-GB"/>
              </w:rPr>
              <w:t xml:space="preserve">Test substance, form </w:t>
            </w:r>
            <w:r>
              <w:rPr>
                <w:rFonts w:eastAsia="Calibri"/>
                <w:i/>
                <w:lang w:eastAsia="en-US"/>
              </w:rPr>
              <w:t>(gas, vapour, dust, mist)</w:t>
            </w:r>
            <w:r>
              <w:rPr>
                <w:rFonts w:eastAsia="Calibri"/>
                <w:b/>
                <w:lang w:eastAsia="en-GB"/>
              </w:rPr>
              <w:t xml:space="preserve"> and particle size (MMAD)</w:t>
            </w:r>
          </w:p>
          <w:p w14:paraId="5CEE8BE6" w14:textId="77777777" w:rsidR="008D3FA2" w:rsidRDefault="008D3FA2">
            <w:pPr>
              <w:spacing w:line="260" w:lineRule="atLeast"/>
              <w:rPr>
                <w:rFonts w:eastAsia="Calibri"/>
                <w:lang w:eastAsia="en-US"/>
              </w:rPr>
            </w:pPr>
            <w:r>
              <w:rPr>
                <w:rFonts w:eastAsia="Calibri"/>
                <w:b/>
                <w:lang w:eastAsia="en-GB"/>
              </w:rPr>
              <w:t xml:space="preserve">Actual and nominal concentration, Type of administration </w:t>
            </w:r>
            <w:r>
              <w:rPr>
                <w:rFonts w:eastAsia="Calibri"/>
                <w:i/>
                <w:lang w:eastAsia="en-GB"/>
              </w:rPr>
              <w:t>(nose only / whole body/ head only)</w:t>
            </w:r>
            <w:r>
              <w:rPr>
                <w:rFonts w:eastAsia="Calibri"/>
                <w:b/>
                <w:lang w:eastAsia="en-GB"/>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9D27E" w14:textId="77777777" w:rsidR="008D3FA2" w:rsidRDefault="008D3FA2">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8D00BE" w14:textId="77777777" w:rsidR="008D3FA2" w:rsidRDefault="008D3FA2">
            <w:pPr>
              <w:spacing w:line="260" w:lineRule="atLeast"/>
              <w:rPr>
                <w:rFonts w:eastAsia="Calibri"/>
                <w:b/>
                <w:lang w:eastAsia="en-US"/>
              </w:rPr>
            </w:pPr>
            <w:r>
              <w:rPr>
                <w:rFonts w:eastAsia="Calibri"/>
                <w:b/>
                <w:lang w:eastAsia="en-US"/>
              </w:rPr>
              <w:t>LC50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62521E" w14:textId="77777777" w:rsidR="008D3FA2" w:rsidRDefault="008D3FA2">
            <w:pPr>
              <w:spacing w:line="260" w:lineRule="atLeast"/>
              <w:rPr>
                <w:rFonts w:eastAsia="Calibri"/>
                <w:lang w:eastAsia="en-US"/>
              </w:rPr>
            </w:pPr>
            <w:r>
              <w:rPr>
                <w:rFonts w:eastAsia="Calibri"/>
                <w:b/>
                <w:lang w:eastAsia="en-US"/>
              </w:rPr>
              <w:t xml:space="preserve">Remarks </w:t>
            </w:r>
            <w:r>
              <w:rPr>
                <w:rFonts w:eastAsia="Calibri"/>
                <w:i/>
                <w:lang w:eastAsia="en-GB"/>
              </w:rPr>
              <w:t>(e.g. major deviations)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4FB40" w14:textId="77777777" w:rsidR="008D3FA2" w:rsidRDefault="008D3FA2">
            <w:pPr>
              <w:spacing w:line="260" w:lineRule="atLeast"/>
              <w:rPr>
                <w:rFonts w:eastAsia="Calibri"/>
                <w:b/>
                <w:lang w:eastAsia="en-US"/>
              </w:rPr>
            </w:pPr>
            <w:r>
              <w:rPr>
                <w:rFonts w:eastAsia="Calibri"/>
                <w:b/>
                <w:lang w:eastAsia="en-US"/>
              </w:rPr>
              <w:t>Reference</w:t>
            </w:r>
          </w:p>
        </w:tc>
      </w:tr>
      <w:tr w:rsidR="008D3FA2" w14:paraId="1F104990" w14:textId="77777777" w:rsidTr="00CD3957">
        <w:trPr>
          <w:trHeight w:val="388"/>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15FE4" w14:textId="77777777" w:rsidR="008D3FA2" w:rsidRDefault="008D3FA2">
            <w:pPr>
              <w:spacing w:line="260" w:lineRule="atLeast"/>
              <w:rPr>
                <w:rFonts w:eastAsia="Calibri"/>
                <w:lang w:eastAsia="en-US"/>
              </w:rPr>
            </w:pPr>
            <w:r>
              <w:rPr>
                <w:rFonts w:eastAsia="Calibri"/>
                <w:lang w:eastAsia="en-US"/>
              </w:rPr>
              <w:t>Non-guideline, predates GLP, 1-hour exposure to 0.026 mg/L benzoic acid gross necropsy performed, study cited by two renowned scientific authorities, reliability 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8766F" w14:textId="77777777" w:rsidR="008D3FA2" w:rsidRDefault="008D3FA2">
            <w:pPr>
              <w:spacing w:line="260" w:lineRule="atLeast"/>
              <w:rPr>
                <w:rFonts w:eastAsia="Calibri"/>
                <w:lang w:eastAsia="en-US"/>
              </w:rPr>
            </w:pPr>
            <w:r>
              <w:rPr>
                <w:rFonts w:eastAsia="Calibri"/>
                <w:lang w:eastAsia="en-US"/>
              </w:rPr>
              <w:t>Rat, strain and sex unspecified</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45A8A" w14:textId="77777777" w:rsidR="008D3FA2" w:rsidRDefault="008D3FA2">
            <w:pPr>
              <w:spacing w:line="260" w:lineRule="atLeast"/>
              <w:rPr>
                <w:rFonts w:eastAsia="Calibri"/>
                <w:lang w:eastAsia="en-US"/>
              </w:rPr>
            </w:pPr>
            <w:r>
              <w:rPr>
                <w:rFonts w:eastAsia="Calibri"/>
                <w:lang w:eastAsia="en-US"/>
              </w:rPr>
              <w:t xml:space="preserve">Benzoic acid, dust, 0.026 mg/L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22E48" w14:textId="77777777" w:rsidR="008D3FA2" w:rsidRDefault="008D3FA2">
            <w:pPr>
              <w:spacing w:line="260" w:lineRule="atLeast"/>
              <w:rPr>
                <w:rFonts w:eastAsia="Calibri"/>
                <w:lang w:eastAsia="en-US"/>
              </w:rPr>
            </w:pPr>
            <w:r>
              <w:rPr>
                <w:rFonts w:eastAsia="Calibri"/>
                <w:lang w:eastAsia="en-US"/>
              </w:rPr>
              <w:t>No mortalities occurred, but generalized inactivity and</w:t>
            </w:r>
          </w:p>
          <w:p w14:paraId="14766B4F" w14:textId="77777777" w:rsidR="008D3FA2" w:rsidRDefault="008D3FA2">
            <w:pPr>
              <w:spacing w:line="260" w:lineRule="atLeast"/>
              <w:rPr>
                <w:rFonts w:eastAsia="Calibri"/>
                <w:lang w:eastAsia="en-US"/>
              </w:rPr>
            </w:pPr>
            <w:r>
              <w:rPr>
                <w:rFonts w:eastAsia="Calibri"/>
                <w:lang w:eastAsia="en-US"/>
              </w:rPr>
              <w:t>lacrimation were noted. The gross autopsy gave no</w:t>
            </w:r>
          </w:p>
          <w:p w14:paraId="1DFF5F70" w14:textId="77777777" w:rsidR="008D3FA2" w:rsidRDefault="008D3FA2">
            <w:pPr>
              <w:spacing w:line="260" w:lineRule="atLeast"/>
              <w:rPr>
                <w:rFonts w:eastAsia="Calibri"/>
                <w:lang w:eastAsia="en-US"/>
              </w:rPr>
            </w:pPr>
            <w:r>
              <w:rPr>
                <w:rFonts w:eastAsia="Calibri"/>
                <w:lang w:eastAsia="en-US"/>
              </w:rPr>
              <w:t>significant findings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D05D4" w14:textId="77777777" w:rsidR="008D3FA2" w:rsidRDefault="008D3FA2">
            <w:pPr>
              <w:spacing w:line="260" w:lineRule="atLeast"/>
              <w:rPr>
                <w:rFonts w:eastAsia="Calibri"/>
                <w:lang w:eastAsia="en-US"/>
              </w:rPr>
            </w:pPr>
            <w:r>
              <w:rPr>
                <w:rFonts w:eastAsia="Calibri"/>
                <w:lang w:eastAsia="en-US"/>
              </w:rPr>
              <w:t xml:space="preserve">LC50 &gt; 0.026 mg/L/1 h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5946B" w14:textId="77777777" w:rsidR="008D3FA2" w:rsidRDefault="008D3FA2">
            <w:pPr>
              <w:spacing w:line="260" w:lineRule="atLeast"/>
              <w:rPr>
                <w:rFonts w:eastAsia="Calibri"/>
                <w:lang w:eastAsia="en-US"/>
              </w:rPr>
            </w:pPr>
            <w:r>
              <w:rPr>
                <w:rFonts w:eastAsia="Calibri"/>
                <w:lang w:eastAsia="en-US"/>
              </w:rPr>
              <w:t xml:space="preserve">The study is recovered as a secondary source only, but it was cited and used in the evaluations by two renowned scientific authorities. Based on the short exposure duration and the exposure concentration being below the concentration limit of 5 mg/L for classification for acute inhalation toxicity </w:t>
            </w:r>
            <w:r>
              <w:rPr>
                <w:rFonts w:eastAsia="Calibri"/>
                <w:lang w:eastAsia="en-US"/>
              </w:rPr>
              <w:lastRenderedPageBreak/>
              <w:t>according to Regulation 1272/2008/EC, the study is considered to be not suitable for classification and labelling purposes and is provided as supporting information.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BB71F" w14:textId="77777777" w:rsidR="008D3FA2" w:rsidRDefault="008D3FA2">
            <w:pPr>
              <w:spacing w:line="260" w:lineRule="atLeast"/>
              <w:rPr>
                <w:rFonts w:eastAsia="Calibri"/>
                <w:lang w:eastAsia="en-US"/>
              </w:rPr>
            </w:pPr>
            <w:r>
              <w:rPr>
                <w:sz w:val="18"/>
                <w:szCs w:val="18"/>
                <w:lang w:val="en-US" w:eastAsia="nl-NL"/>
              </w:rPr>
              <w:lastRenderedPageBreak/>
              <w:t xml:space="preserve">Ref no. </w:t>
            </w:r>
            <w:r>
              <w:rPr>
                <w:rFonts w:eastAsia="Calibri"/>
                <w:lang w:eastAsia="en-US"/>
              </w:rPr>
              <w:t>2.2.6.1- 5 (</w:t>
            </w:r>
            <w:proofErr w:type="spellStart"/>
            <w:r w:rsidR="005D5483" w:rsidRPr="002F4C58">
              <w:rPr>
                <w:rFonts w:eastAsia="Calibri"/>
                <w:highlight w:val="black"/>
              </w:rPr>
              <w:t>xxxxx</w:t>
            </w:r>
            <w:proofErr w:type="spellEnd"/>
            <w:r>
              <w:rPr>
                <w:sz w:val="18"/>
                <w:szCs w:val="18"/>
                <w:lang w:val="en-US" w:eastAsia="nl-NL"/>
              </w:rPr>
              <w:t>)</w:t>
            </w:r>
            <w:r>
              <w:rPr>
                <w:rFonts w:eastAsia="Calibri"/>
                <w:lang w:eastAsia="en-US"/>
              </w:rPr>
              <w:t>,</w:t>
            </w:r>
          </w:p>
          <w:p w14:paraId="779CE977" w14:textId="77777777" w:rsidR="008D3FA2" w:rsidRDefault="008D3FA2">
            <w:pPr>
              <w:spacing w:line="260" w:lineRule="atLeast"/>
              <w:rPr>
                <w:rFonts w:eastAsia="Calibri"/>
                <w:lang w:eastAsia="en-US"/>
              </w:rPr>
            </w:pPr>
          </w:p>
          <w:p w14:paraId="59B565D4" w14:textId="77777777" w:rsidR="008D3FA2" w:rsidRDefault="008D3FA2">
            <w:pPr>
              <w:spacing w:line="260" w:lineRule="atLeast"/>
              <w:rPr>
                <w:rFonts w:eastAsia="Calibri"/>
                <w:lang w:eastAsia="en-US"/>
              </w:rPr>
            </w:pPr>
            <w:r>
              <w:rPr>
                <w:rFonts w:eastAsia="Calibri"/>
                <w:lang w:eastAsia="en-US"/>
              </w:rPr>
              <w:t xml:space="preserve"> 2.2.6.1-6 (</w:t>
            </w:r>
            <w:proofErr w:type="spellStart"/>
            <w:r w:rsidR="005D5483" w:rsidRPr="002F4C58">
              <w:rPr>
                <w:rFonts w:eastAsia="Calibri"/>
                <w:highlight w:val="black"/>
              </w:rPr>
              <w:t>xxxxx</w:t>
            </w:r>
            <w:proofErr w:type="spellEnd"/>
            <w:r>
              <w:rPr>
                <w:rFonts w:eastAsia="Calibri"/>
                <w:lang w:eastAsia="en-US"/>
              </w:rPr>
              <w:t>)</w:t>
            </w:r>
          </w:p>
        </w:tc>
      </w:tr>
      <w:tr w:rsidR="008D3FA2" w14:paraId="04555E24" w14:textId="77777777" w:rsidTr="00CD3957">
        <w:trPr>
          <w:trHeight w:val="388"/>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2E118" w14:textId="77777777" w:rsidR="008D3FA2" w:rsidRDefault="008D3FA2">
            <w:pPr>
              <w:spacing w:line="260" w:lineRule="atLeast"/>
              <w:rPr>
                <w:rFonts w:eastAsia="Calibri"/>
                <w:lang w:eastAsia="en-US"/>
              </w:rPr>
            </w:pPr>
            <w:r>
              <w:rPr>
                <w:rFonts w:eastAsia="Calibri"/>
                <w:lang w:eastAsia="en-US"/>
              </w:rPr>
              <w:t>Non-guideline, predates GLP, 4-hour exposure to 12.2 mg/L benzoic acid, 14 days observation, gross necropsy performed, clinical signs, body weight and histopathology, reliability 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23001" w14:textId="77777777" w:rsidR="008D3FA2" w:rsidRDefault="008D3FA2">
            <w:pPr>
              <w:spacing w:line="260" w:lineRule="atLeast"/>
              <w:rPr>
                <w:rFonts w:eastAsia="Calibri"/>
                <w:lang w:eastAsia="en-US"/>
              </w:rPr>
            </w:pPr>
            <w:r>
              <w:rPr>
                <w:rFonts w:eastAsia="Calibri"/>
                <w:lang w:eastAsia="en-US"/>
              </w:rPr>
              <w:t>Rat (Spartan,  5 males, 5 females)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5891D9" w14:textId="77777777" w:rsidR="008D3FA2" w:rsidRDefault="008D3FA2">
            <w:pPr>
              <w:spacing w:line="260" w:lineRule="atLeast"/>
              <w:rPr>
                <w:rFonts w:eastAsia="Calibri"/>
                <w:lang w:eastAsia="en-US"/>
              </w:rPr>
            </w:pPr>
            <w:r>
              <w:rPr>
                <w:rFonts w:eastAsia="Calibri"/>
                <w:lang w:eastAsia="en-US"/>
              </w:rPr>
              <w:t>Benzoic acid, dust, 12.2 mg/L (no MMAD reported), whole body exposure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FF27F" w14:textId="77777777" w:rsidR="008D3FA2" w:rsidRDefault="008D3FA2">
            <w:pPr>
              <w:spacing w:line="260" w:lineRule="atLeast"/>
              <w:rPr>
                <w:rFonts w:eastAsia="Calibri"/>
                <w:lang w:eastAsia="en-US"/>
              </w:rPr>
            </w:pPr>
            <w:r>
              <w:rPr>
                <w:rFonts w:eastAsia="Calibri"/>
                <w:lang w:eastAsia="en-US"/>
              </w:rPr>
              <w:t xml:space="preserve">No mortalities occurred, increased motor activity and slight erythema were observed during the 4 hour exposure period, after 24 hours all animals appeared normal. No effects seen on weight gain, no gross pathological or histopathological </w:t>
            </w:r>
            <w:r>
              <w:rPr>
                <w:rFonts w:eastAsia="Calibri"/>
                <w:lang w:eastAsia="en-US"/>
              </w:rPr>
              <w:lastRenderedPageBreak/>
              <w:t>effects reported.</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6C29C" w14:textId="77777777" w:rsidR="008D3FA2" w:rsidRDefault="008D3FA2">
            <w:pPr>
              <w:spacing w:line="260" w:lineRule="atLeast"/>
              <w:rPr>
                <w:rFonts w:eastAsia="Calibri"/>
                <w:lang w:eastAsia="en-US"/>
              </w:rPr>
            </w:pPr>
            <w:r>
              <w:rPr>
                <w:rFonts w:eastAsia="Calibri"/>
                <w:lang w:eastAsia="en-US"/>
              </w:rPr>
              <w:lastRenderedPageBreak/>
              <w:t xml:space="preserve">LC50 &gt; 12.2 mg/L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4B7A9" w14:textId="77777777" w:rsidR="008D3FA2" w:rsidRDefault="008D3FA2">
            <w:pPr>
              <w:spacing w:line="260" w:lineRule="atLeast"/>
              <w:rPr>
                <w:rFonts w:eastAsia="Calibri"/>
                <w:lang w:eastAsia="en-US"/>
              </w:rPr>
            </w:pPr>
            <w:r>
              <w:rPr>
                <w:rFonts w:eastAsia="Calibri"/>
                <w:lang w:eastAsia="en-US"/>
              </w:rPr>
              <w:t>No MMAD was reported, this is not considered to influence the reliability of the study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691D4" w14:textId="77777777" w:rsidR="008D3FA2" w:rsidRDefault="008D3FA2">
            <w:pPr>
              <w:spacing w:line="260" w:lineRule="atLeast"/>
              <w:rPr>
                <w:sz w:val="18"/>
                <w:szCs w:val="18"/>
                <w:lang w:eastAsia="nl-NL"/>
              </w:rPr>
            </w:pPr>
            <w:r>
              <w:rPr>
                <w:sz w:val="18"/>
                <w:szCs w:val="18"/>
                <w:lang w:eastAsia="nl-NL"/>
              </w:rPr>
              <w:t>Ref no. 2.2.6.1-7 (</w:t>
            </w:r>
            <w:proofErr w:type="spellStart"/>
            <w:r w:rsidR="005D5483" w:rsidRPr="002F4C58">
              <w:rPr>
                <w:rFonts w:eastAsia="Calibri"/>
                <w:highlight w:val="black"/>
              </w:rPr>
              <w:t>xxxxx</w:t>
            </w:r>
            <w:proofErr w:type="spellEnd"/>
            <w:r>
              <w:rPr>
                <w:sz w:val="18"/>
                <w:szCs w:val="18"/>
                <w:lang w:eastAsia="nl-NL"/>
              </w:rPr>
              <w:t>)</w:t>
            </w:r>
          </w:p>
        </w:tc>
      </w:tr>
    </w:tbl>
    <w:p w14:paraId="5A0942AC" w14:textId="77777777" w:rsidR="00CF59EF" w:rsidRDefault="00CF59EF">
      <w:pPr>
        <w:spacing w:line="260" w:lineRule="atLeast"/>
        <w:rPr>
          <w:rFonts w:ascii="Times New Roman" w:eastAsia="Calibri" w:hAnsi="Times New Roman"/>
          <w:i/>
          <w:iCs/>
          <w:lang w:eastAsia="en-US"/>
        </w:rPr>
      </w:pPr>
    </w:p>
    <w:p w14:paraId="304FB825" w14:textId="77777777" w:rsidR="00CF59EF" w:rsidRDefault="00CF59EF">
      <w:pPr>
        <w:spacing w:line="260" w:lineRule="atLeast"/>
        <w:rPr>
          <w:rFonts w:ascii="Times New Roman" w:eastAsia="Calibri" w:hAnsi="Times New Roman"/>
          <w:i/>
          <w:iCs/>
          <w:lang w:eastAsia="en-US"/>
        </w:rPr>
      </w:pPr>
    </w:p>
    <w:p w14:paraId="7D584059" w14:textId="77777777" w:rsidR="00CF59EF" w:rsidRDefault="000B5D37">
      <w:pPr>
        <w:spacing w:line="260" w:lineRule="atLeast"/>
        <w:rPr>
          <w:rFonts w:eastAsia="Calibri"/>
          <w:iCs/>
          <w:lang w:eastAsia="en-US"/>
        </w:rPr>
      </w:pPr>
      <w:r>
        <w:rPr>
          <w:rFonts w:eastAsia="Calibri"/>
          <w:iCs/>
          <w:lang w:eastAsia="en-US"/>
        </w:rPr>
        <w:t xml:space="preserve">No human data are available. </w:t>
      </w:r>
    </w:p>
    <w:p w14:paraId="3DA99F87" w14:textId="77777777"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14:paraId="225A6631"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2F59C800" w14:textId="77777777" w:rsidR="00CF59EF" w:rsidRDefault="000B5D37">
            <w:pPr>
              <w:spacing w:line="260" w:lineRule="atLeast"/>
              <w:rPr>
                <w:rFonts w:eastAsia="Calibri"/>
                <w:b/>
                <w:bCs/>
                <w:lang w:eastAsia="en-US"/>
              </w:rPr>
            </w:pPr>
            <w:r>
              <w:rPr>
                <w:rFonts w:eastAsia="Calibri"/>
                <w:b/>
                <w:bCs/>
                <w:lang w:eastAsia="en-US"/>
              </w:rPr>
              <w:t>Value used in the Risk Assessment – Acute inhalation toxicity</w:t>
            </w:r>
          </w:p>
        </w:tc>
      </w:tr>
      <w:tr w:rsidR="00CF59EF" w14:paraId="0E9721FC"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10F3681" w14:textId="77777777"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3FAA9807" w14:textId="77777777" w:rsidR="00CF59EF" w:rsidRDefault="000B5D37">
            <w:pPr>
              <w:spacing w:line="260" w:lineRule="atLeast"/>
              <w:rPr>
                <w:rFonts w:eastAsia="Calibri"/>
                <w:lang w:eastAsia="en-US"/>
              </w:rPr>
            </w:pPr>
            <w:r>
              <w:rPr>
                <w:rFonts w:eastAsia="Calibri"/>
                <w:lang w:eastAsia="en-US"/>
              </w:rPr>
              <w:t>LC50 &gt; 12.2 mg/L (benzoic acid)</w:t>
            </w:r>
          </w:p>
        </w:tc>
      </w:tr>
      <w:tr w:rsidR="00CF59EF" w14:paraId="5807B684"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6FF6C87" w14:textId="77777777"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FF368C9" w14:textId="77777777" w:rsidR="00CF59EF" w:rsidRDefault="000B5D37">
            <w:pPr>
              <w:spacing w:line="260" w:lineRule="atLeast"/>
              <w:rPr>
                <w:rFonts w:eastAsia="Calibri"/>
                <w:lang w:eastAsia="en-US"/>
              </w:rPr>
            </w:pPr>
            <w:r>
              <w:rPr>
                <w:rFonts w:eastAsia="Calibri"/>
                <w:lang w:eastAsia="en-US"/>
              </w:rPr>
              <w:t>Based on the results of acute inhalation toxicity study with rats with a read-across substance benzoic acid</w:t>
            </w:r>
          </w:p>
        </w:tc>
      </w:tr>
      <w:tr w:rsidR="00CF59EF" w14:paraId="1B30A3EB"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AF1DB71"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6B7C50B2" w14:textId="77777777" w:rsidR="00CF59EF" w:rsidRDefault="000B5D37">
            <w:pPr>
              <w:spacing w:line="260" w:lineRule="atLeast"/>
              <w:rPr>
                <w:rFonts w:eastAsia="Calibri"/>
                <w:lang w:eastAsia="en-US"/>
              </w:rPr>
            </w:pPr>
            <w:r>
              <w:rPr>
                <w:rFonts w:eastAsia="Calibri"/>
                <w:lang w:eastAsia="en-US"/>
              </w:rPr>
              <w:t>Not classified</w:t>
            </w:r>
          </w:p>
        </w:tc>
      </w:tr>
    </w:tbl>
    <w:p w14:paraId="340D2D89" w14:textId="77777777" w:rsidR="00CF59EF" w:rsidRDefault="00CF59EF">
      <w:pPr>
        <w:spacing w:line="260" w:lineRule="atLeast"/>
        <w:rPr>
          <w:rFonts w:eastAsia="Calibri"/>
          <w:lang w:eastAsia="en-US"/>
        </w:rPr>
      </w:pPr>
    </w:p>
    <w:p w14:paraId="7898BF53" w14:textId="77777777" w:rsidR="00CF59EF" w:rsidRDefault="000B5D37">
      <w:pPr>
        <w:rPr>
          <w:rFonts w:eastAsia="Calibri"/>
          <w:i/>
          <w:u w:val="single"/>
          <w:lang w:eastAsia="en-US"/>
        </w:rPr>
      </w:pPr>
      <w:bookmarkStart w:id="1470" w:name="_Toc389729057"/>
      <w:bookmarkEnd w:id="1470"/>
      <w:r>
        <w:rPr>
          <w:rFonts w:eastAsia="Calibri"/>
          <w:i/>
          <w:u w:val="single"/>
          <w:lang w:eastAsia="en-US"/>
        </w:rPr>
        <w:t>Acute toxicity by dermal route</w:t>
      </w:r>
    </w:p>
    <w:p w14:paraId="16F0DC33" w14:textId="77777777" w:rsidR="00CF59EF" w:rsidRDefault="00CF59EF">
      <w:pPr>
        <w:rPr>
          <w:rFonts w:eastAsia="Calibri"/>
          <w:i/>
          <w:u w:val="single"/>
          <w:lang w:eastAsia="en-US"/>
        </w:rPr>
      </w:pPr>
    </w:p>
    <w:p w14:paraId="313C4C8C" w14:textId="77777777" w:rsidR="00CF59EF" w:rsidRPr="006738CA" w:rsidRDefault="000B5D37">
      <w:pPr>
        <w:spacing w:line="260" w:lineRule="atLeast"/>
        <w:rPr>
          <w:rFonts w:eastAsia="Calibri"/>
          <w:lang w:eastAsia="en-US"/>
        </w:rPr>
      </w:pPr>
      <w:r w:rsidRPr="006738CA">
        <w:rPr>
          <w:rFonts w:eastAsia="Calibri"/>
          <w:lang w:eastAsia="en-US"/>
        </w:rPr>
        <w:t xml:space="preserve">The World Health Organization concluded in 2000 that the acute dermal toxicity of benzoic acid and sodium benzoate was low, based on a study with rabbits which resulted in an LD50 value of benzoic acid above 10,000 mg/kg </w:t>
      </w:r>
      <w:proofErr w:type="spellStart"/>
      <w:r w:rsidRPr="006738CA">
        <w:rPr>
          <w:rFonts w:eastAsia="Calibri"/>
          <w:lang w:eastAsia="en-US"/>
        </w:rPr>
        <w:t>bw</w:t>
      </w:r>
      <w:proofErr w:type="spellEnd"/>
      <w:r w:rsidRPr="006738CA">
        <w:rPr>
          <w:rFonts w:eastAsia="Calibri"/>
          <w:lang w:eastAsia="en-US"/>
        </w:rPr>
        <w:t>. As no original study report could be recovered, and the study was done with an analogue, the study has limited reliable and is only included as supporting evidence.</w:t>
      </w:r>
    </w:p>
    <w:p w14:paraId="71515D4A" w14:textId="77777777" w:rsidR="006738CA" w:rsidRDefault="006738CA">
      <w:pPr>
        <w:spacing w:line="260" w:lineRule="atLeast"/>
        <w:rPr>
          <w:rFonts w:eastAsia="Calibri"/>
          <w:lang w:eastAsia="en-US"/>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62"/>
        <w:gridCol w:w="1369"/>
        <w:gridCol w:w="1441"/>
        <w:gridCol w:w="1489"/>
        <w:gridCol w:w="869"/>
        <w:gridCol w:w="1444"/>
        <w:gridCol w:w="1348"/>
      </w:tblGrid>
      <w:tr w:rsidR="00CF59EF" w14:paraId="724A0ECF" w14:textId="77777777">
        <w:trPr>
          <w:trHeight w:val="253"/>
        </w:trPr>
        <w:tc>
          <w:tcPr>
            <w:tcW w:w="9321" w:type="dxa"/>
            <w:gridSpan w:val="7"/>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974D632" w14:textId="77777777" w:rsidR="00CF59EF" w:rsidRDefault="000B5D37">
            <w:pPr>
              <w:spacing w:line="260" w:lineRule="atLeast"/>
              <w:jc w:val="center"/>
              <w:rPr>
                <w:rFonts w:eastAsia="Calibri"/>
                <w:b/>
                <w:lang w:eastAsia="en-US"/>
              </w:rPr>
            </w:pPr>
            <w:r>
              <w:rPr>
                <w:rFonts w:eastAsia="Calibri"/>
                <w:b/>
                <w:lang w:eastAsia="en-US"/>
              </w:rPr>
              <w:t>Summary table of animal studies on acute dermal toxicity</w:t>
            </w:r>
          </w:p>
        </w:tc>
      </w:tr>
      <w:tr w:rsidR="00CF59EF" w14:paraId="54F9AF40" w14:textId="77777777">
        <w:trPr>
          <w:trHeight w:val="2519"/>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70274" w14:textId="77777777" w:rsidR="00CF59EF" w:rsidRDefault="000B5D37">
            <w:pPr>
              <w:spacing w:line="260" w:lineRule="atLeast"/>
              <w:rPr>
                <w:rFonts w:eastAsia="Calibri"/>
                <w:b/>
                <w:lang w:eastAsia="en-GB"/>
              </w:rPr>
            </w:pPr>
            <w:r>
              <w:rPr>
                <w:rFonts w:eastAsia="Calibri"/>
                <w:b/>
                <w:lang w:eastAsia="en-GB"/>
              </w:rPr>
              <w:t>Method, Guideline,</w:t>
            </w:r>
          </w:p>
          <w:p w14:paraId="5995DB4E" w14:textId="77777777" w:rsidR="00CF59EF" w:rsidRDefault="000B5D37">
            <w:pPr>
              <w:spacing w:line="260" w:lineRule="atLeast"/>
              <w:rPr>
                <w:rFonts w:eastAsia="Calibri"/>
                <w:b/>
                <w:lang w:eastAsia="en-GB"/>
              </w:rPr>
            </w:pPr>
            <w:r>
              <w:rPr>
                <w:rFonts w:eastAsia="Calibri"/>
                <w:b/>
                <w:lang w:eastAsia="en-GB"/>
              </w:rPr>
              <w:t>GLP status,</w:t>
            </w:r>
          </w:p>
          <w:p w14:paraId="650B1DE5" w14:textId="77777777" w:rsidR="00CF59EF" w:rsidRDefault="000B5D37">
            <w:pPr>
              <w:spacing w:line="260" w:lineRule="atLeast"/>
              <w:rPr>
                <w:rFonts w:eastAsia="Calibri"/>
                <w:lang w:eastAsia="en-US"/>
              </w:rPr>
            </w:pPr>
            <w:r>
              <w:rPr>
                <w:rFonts w:eastAsia="Calibri"/>
                <w:b/>
                <w:lang w:eastAsia="en-GB"/>
              </w:rPr>
              <w:t>Reliability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6BCDE" w14:textId="77777777" w:rsidR="00CF59EF" w:rsidRDefault="000B5D37">
            <w:pPr>
              <w:spacing w:line="260" w:lineRule="atLeast"/>
              <w:rPr>
                <w:rFonts w:eastAsia="Calibri"/>
                <w:b/>
                <w:lang w:eastAsia="en-US"/>
              </w:rPr>
            </w:pPr>
            <w:r>
              <w:rPr>
                <w:rFonts w:eastAsia="Calibri"/>
                <w:b/>
                <w:lang w:eastAsia="en-US"/>
              </w:rPr>
              <w:t>Species, strain, Sex, No/group</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89952" w14:textId="77777777" w:rsidR="00CF59EF" w:rsidRDefault="000B5D37">
            <w:pPr>
              <w:spacing w:line="260" w:lineRule="atLeast"/>
              <w:rPr>
                <w:rFonts w:eastAsia="Calibri"/>
                <w:lang w:eastAsia="en-US"/>
              </w:rPr>
            </w:pPr>
            <w:r>
              <w:rPr>
                <w:rFonts w:eastAsia="Calibri"/>
                <w:b/>
                <w:lang w:eastAsia="en-GB"/>
              </w:rPr>
              <w:t>Test substance, Vehicle, Dose levels, Surface area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E9E41" w14:textId="77777777"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9F7AF" w14:textId="77777777" w:rsidR="00CF59EF" w:rsidRDefault="000B5D37">
            <w:pPr>
              <w:spacing w:line="260" w:lineRule="atLeast"/>
              <w:rPr>
                <w:rFonts w:eastAsia="Calibri"/>
                <w:b/>
                <w:lang w:eastAsia="en-US"/>
              </w:rPr>
            </w:pPr>
            <w:r>
              <w:rPr>
                <w:rFonts w:eastAsia="Calibri"/>
                <w:b/>
                <w:lang w:eastAsia="en-US"/>
              </w:rPr>
              <w:t>LD50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FC6C5" w14:textId="77777777" w:rsidR="00CF59EF" w:rsidRDefault="000B5D37">
            <w:pPr>
              <w:spacing w:line="260" w:lineRule="atLeast"/>
              <w:rPr>
                <w:rFonts w:eastAsia="Calibri"/>
                <w:lang w:eastAsia="en-US"/>
              </w:rPr>
            </w:pPr>
            <w:r>
              <w:rPr>
                <w:rFonts w:eastAsia="Calibri"/>
                <w:b/>
                <w:lang w:eastAsia="en-US"/>
              </w:rPr>
              <w:t xml:space="preserve">Remarks </w:t>
            </w:r>
            <w:r>
              <w:rPr>
                <w:rFonts w:eastAsia="Calibri"/>
                <w:i/>
                <w:lang w:eastAsia="en-GB"/>
              </w:rPr>
              <w:t>(e.g. major deviations)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9575F" w14:textId="77777777" w:rsidR="00CF59EF" w:rsidRDefault="000B5D37">
            <w:pPr>
              <w:spacing w:line="260" w:lineRule="atLeast"/>
              <w:rPr>
                <w:rFonts w:eastAsia="Calibri"/>
                <w:b/>
                <w:lang w:eastAsia="en-US"/>
              </w:rPr>
            </w:pPr>
            <w:r>
              <w:rPr>
                <w:rFonts w:eastAsia="Calibri"/>
                <w:b/>
                <w:lang w:eastAsia="en-US"/>
              </w:rPr>
              <w:t>Reference</w:t>
            </w:r>
          </w:p>
        </w:tc>
      </w:tr>
      <w:tr w:rsidR="00CF59EF" w14:paraId="70D81BAF" w14:textId="77777777">
        <w:trPr>
          <w:trHeight w:val="362"/>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51EFE" w14:textId="77777777" w:rsidR="00CF59EF" w:rsidRDefault="000B5D37" w:rsidP="0071714D">
            <w:pPr>
              <w:spacing w:line="260" w:lineRule="atLeast"/>
              <w:rPr>
                <w:rFonts w:eastAsia="Calibri"/>
                <w:lang w:eastAsia="en-US"/>
              </w:rPr>
            </w:pPr>
            <w:r>
              <w:rPr>
                <w:rFonts w:eastAsia="Calibri"/>
                <w:lang w:eastAsia="en-US"/>
              </w:rPr>
              <w:t xml:space="preserve">Non-guideline, predates GLP, limit test with rabbits, dermal application of 10000 mg/kg </w:t>
            </w:r>
            <w:proofErr w:type="spellStart"/>
            <w:r>
              <w:rPr>
                <w:rFonts w:eastAsia="Calibri"/>
                <w:lang w:eastAsia="en-US"/>
              </w:rPr>
              <w:t>bw</w:t>
            </w:r>
            <w:proofErr w:type="spellEnd"/>
            <w:r>
              <w:rPr>
                <w:rFonts w:eastAsia="Calibri"/>
                <w:lang w:eastAsia="en-US"/>
              </w:rPr>
              <w:t xml:space="preserve">, gross autopsy performed, study cited by two renowned </w:t>
            </w:r>
            <w:r>
              <w:rPr>
                <w:rFonts w:eastAsia="Calibri"/>
                <w:lang w:eastAsia="en-US"/>
              </w:rPr>
              <w:lastRenderedPageBreak/>
              <w:t>scientific authorities. Reliability 4</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2A999" w14:textId="77777777" w:rsidR="00CF59EF" w:rsidRDefault="000B5D37">
            <w:pPr>
              <w:spacing w:line="260" w:lineRule="atLeast"/>
              <w:rPr>
                <w:rFonts w:eastAsia="Calibri"/>
                <w:lang w:eastAsia="en-US"/>
              </w:rPr>
            </w:pPr>
            <w:r>
              <w:rPr>
                <w:rFonts w:eastAsia="Calibri"/>
                <w:lang w:eastAsia="en-US"/>
              </w:rPr>
              <w:lastRenderedPageBreak/>
              <w:t>Rabbits, sex and strain unspecified</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713CAF" w14:textId="77777777" w:rsidR="00CF59EF" w:rsidRDefault="000B5D37">
            <w:pPr>
              <w:spacing w:line="260" w:lineRule="atLeast"/>
              <w:rPr>
                <w:rFonts w:eastAsia="Calibri"/>
                <w:lang w:eastAsia="en-US"/>
              </w:rPr>
            </w:pPr>
            <w:r>
              <w:rPr>
                <w:rFonts w:eastAsia="Calibri"/>
                <w:lang w:eastAsia="en-US"/>
              </w:rPr>
              <w:t xml:space="preserve">Benzoic acid, 10000 mg/kg </w:t>
            </w:r>
            <w:proofErr w:type="spellStart"/>
            <w:r>
              <w:rPr>
                <w:rFonts w:eastAsia="Calibri"/>
                <w:lang w:eastAsia="en-US"/>
              </w:rPr>
              <w:t>bw</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1C0D9" w14:textId="77777777" w:rsidR="00CF59EF" w:rsidRDefault="000B5D37">
            <w:pPr>
              <w:spacing w:line="260" w:lineRule="atLeast"/>
              <w:rPr>
                <w:rFonts w:eastAsia="Calibri"/>
                <w:lang w:eastAsia="en-US"/>
              </w:rPr>
            </w:pPr>
            <w:r>
              <w:rPr>
                <w:rFonts w:eastAsia="Calibri"/>
                <w:lang w:eastAsia="en-US"/>
              </w:rPr>
              <w:t>No mortalities or signs of toxicity were noted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FEBF1" w14:textId="77777777" w:rsidR="00CF59EF" w:rsidRDefault="000B5D37">
            <w:pPr>
              <w:spacing w:line="260" w:lineRule="atLeast"/>
              <w:rPr>
                <w:rFonts w:eastAsia="Calibri"/>
                <w:lang w:eastAsia="en-US"/>
              </w:rPr>
            </w:pPr>
            <w:r>
              <w:rPr>
                <w:rFonts w:eastAsia="Calibri"/>
                <w:lang w:eastAsia="en-US"/>
              </w:rPr>
              <w:t xml:space="preserve">&gt; 10000 mg/kg </w:t>
            </w:r>
            <w:proofErr w:type="spellStart"/>
            <w:r>
              <w:rPr>
                <w:rFonts w:eastAsia="Calibri"/>
                <w:lang w:eastAsia="en-US"/>
              </w:rPr>
              <w:t>bw</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B75B6" w14:textId="77777777" w:rsidR="00CF59EF" w:rsidRDefault="000B5D37">
            <w:pPr>
              <w:spacing w:line="260" w:lineRule="atLeast"/>
              <w:rPr>
                <w:rFonts w:eastAsia="Calibri"/>
                <w:lang w:eastAsia="en-US"/>
              </w:rPr>
            </w:pPr>
            <w:r>
              <w:rPr>
                <w:rFonts w:eastAsia="Calibri"/>
                <w:lang w:eastAsia="en-US"/>
              </w:rPr>
              <w:t xml:space="preserve">The study is recovered as a secondary source only, but it was cited and used in the evaluations by two renowned scientific authorities.  The study is provided as </w:t>
            </w:r>
            <w:r>
              <w:rPr>
                <w:rFonts w:eastAsia="Calibri"/>
                <w:lang w:eastAsia="en-US"/>
              </w:rPr>
              <w:lastRenderedPageBreak/>
              <w:t>supporting information.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F95F1" w14:textId="77777777" w:rsidR="00CF59EF" w:rsidRDefault="000B5D37">
            <w:pPr>
              <w:spacing w:line="260" w:lineRule="atLeast"/>
              <w:rPr>
                <w:rFonts w:eastAsia="Calibri"/>
                <w:lang w:eastAsia="en-US"/>
              </w:rPr>
            </w:pPr>
            <w:r>
              <w:rPr>
                <w:rFonts w:eastAsia="Calibri"/>
                <w:lang w:eastAsia="en-US"/>
              </w:rPr>
              <w:lastRenderedPageBreak/>
              <w:t>2.2.6.1- 5 (</w:t>
            </w:r>
            <w:proofErr w:type="spellStart"/>
            <w:r w:rsidR="005D5483" w:rsidRPr="002F4C58">
              <w:rPr>
                <w:rFonts w:eastAsia="Calibri"/>
                <w:highlight w:val="black"/>
              </w:rPr>
              <w:t>xxxxx</w:t>
            </w:r>
            <w:proofErr w:type="spellEnd"/>
            <w:r>
              <w:rPr>
                <w:sz w:val="18"/>
                <w:szCs w:val="18"/>
                <w:lang w:val="en-US" w:eastAsia="nl-NL"/>
              </w:rPr>
              <w:t>)</w:t>
            </w:r>
            <w:r>
              <w:rPr>
                <w:rFonts w:eastAsia="Calibri"/>
                <w:lang w:eastAsia="en-US"/>
              </w:rPr>
              <w:t>, 2.2.6.1- 6 (</w:t>
            </w:r>
            <w:proofErr w:type="spellStart"/>
            <w:r w:rsidR="005D5483" w:rsidRPr="002F4C58">
              <w:rPr>
                <w:rFonts w:eastAsia="Calibri"/>
                <w:highlight w:val="black"/>
              </w:rPr>
              <w:t>xxxxx</w:t>
            </w:r>
            <w:proofErr w:type="spellEnd"/>
            <w:r>
              <w:rPr>
                <w:rFonts w:eastAsia="Calibri"/>
                <w:lang w:eastAsia="en-US"/>
              </w:rPr>
              <w:t>)</w:t>
            </w:r>
          </w:p>
        </w:tc>
      </w:tr>
    </w:tbl>
    <w:p w14:paraId="2DAB0050" w14:textId="77777777" w:rsidR="00CF59EF" w:rsidRDefault="00CF59EF">
      <w:pPr>
        <w:spacing w:line="260" w:lineRule="atLeast"/>
        <w:rPr>
          <w:rFonts w:ascii="Times New Roman" w:eastAsia="Calibri" w:hAnsi="Times New Roman"/>
          <w:i/>
          <w:iCs/>
          <w:lang w:eastAsia="en-US"/>
        </w:rPr>
      </w:pPr>
    </w:p>
    <w:p w14:paraId="1437BABB" w14:textId="77777777" w:rsidR="00CF59EF" w:rsidRDefault="000B5D37">
      <w:pPr>
        <w:spacing w:line="260" w:lineRule="atLeast"/>
        <w:rPr>
          <w:rFonts w:eastAsia="Calibri"/>
          <w:bCs/>
          <w:lang w:eastAsia="en-US"/>
        </w:rPr>
      </w:pPr>
      <w:r>
        <w:rPr>
          <w:rFonts w:eastAsia="Calibri"/>
          <w:bCs/>
          <w:lang w:eastAsia="en-US"/>
        </w:rPr>
        <w:t xml:space="preserve">No human data are available. </w:t>
      </w:r>
    </w:p>
    <w:p w14:paraId="39035E38" w14:textId="77777777" w:rsidR="00CF59EF" w:rsidRDefault="00CF59EF">
      <w:pPr>
        <w:spacing w:line="260" w:lineRule="atLeast"/>
        <w:rPr>
          <w:rFonts w:eastAsia="Calibri"/>
          <w:b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14:paraId="777819DE" w14:textId="77777777">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51424C5B" w14:textId="77777777" w:rsidR="00CF59EF" w:rsidRDefault="000B5D37">
            <w:pPr>
              <w:spacing w:line="260" w:lineRule="atLeast"/>
              <w:rPr>
                <w:rFonts w:eastAsia="Calibri"/>
                <w:b/>
                <w:bCs/>
                <w:lang w:eastAsia="en-US"/>
              </w:rPr>
            </w:pPr>
            <w:r>
              <w:rPr>
                <w:rFonts w:eastAsia="Calibri"/>
                <w:b/>
                <w:bCs/>
                <w:lang w:eastAsia="en-US"/>
              </w:rPr>
              <w:t>Value used in the Risk Assessment – Acute dermal toxicity</w:t>
            </w:r>
          </w:p>
        </w:tc>
      </w:tr>
      <w:tr w:rsidR="00CF59EF" w14:paraId="776E5A99"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5855F8B" w14:textId="77777777"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78AF481C" w14:textId="77777777" w:rsidR="00CF59EF" w:rsidRDefault="000B5D37">
            <w:pPr>
              <w:spacing w:line="260" w:lineRule="atLeast"/>
              <w:rPr>
                <w:rFonts w:eastAsia="Calibri"/>
                <w:lang w:eastAsia="en-US"/>
              </w:rPr>
            </w:pPr>
            <w:r>
              <w:rPr>
                <w:rFonts w:eastAsia="Calibri"/>
                <w:lang w:eastAsia="en-US"/>
              </w:rPr>
              <w:t xml:space="preserve"> No value available</w:t>
            </w:r>
          </w:p>
        </w:tc>
      </w:tr>
      <w:tr w:rsidR="00CF59EF" w14:paraId="4584A3BC"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F96864F" w14:textId="77777777"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2CAB5FBD" w14:textId="77777777" w:rsidR="00CF59EF" w:rsidRDefault="00AC2E7F" w:rsidP="00AC2E7F">
            <w:pPr>
              <w:spacing w:line="260" w:lineRule="atLeast"/>
              <w:rPr>
                <w:rFonts w:eastAsia="Calibri"/>
                <w:lang w:eastAsia="en-US"/>
              </w:rPr>
            </w:pPr>
            <w:r>
              <w:rPr>
                <w:rFonts w:eastAsia="Calibri"/>
                <w:lang w:eastAsia="en-US"/>
              </w:rPr>
              <w:t>T</w:t>
            </w:r>
            <w:r w:rsidR="000B5D37">
              <w:rPr>
                <w:rFonts w:eastAsia="Calibri"/>
                <w:lang w:eastAsia="en-US"/>
              </w:rPr>
              <w:t xml:space="preserve">here is no necessity to address the dermal toxicity by testing and it can be concluded that </w:t>
            </w:r>
            <w:proofErr w:type="spellStart"/>
            <w:r w:rsidR="00517AA8" w:rsidRPr="00517AA8">
              <w:rPr>
                <w:rFonts w:eastAsia="Calibri"/>
                <w:lang w:eastAsia="en-US"/>
              </w:rPr>
              <w:t>Kalaguard</w:t>
            </w:r>
            <w:proofErr w:type="spellEnd"/>
            <w:r w:rsidR="00517AA8" w:rsidRPr="00517AA8">
              <w:rPr>
                <w:rFonts w:eastAsia="Calibri"/>
                <w:lang w:eastAsia="en-US"/>
              </w:rPr>
              <w:t>® SB</w:t>
            </w:r>
            <w:r w:rsidR="00517AA8">
              <w:rPr>
                <w:rFonts w:eastAsia="Calibri"/>
                <w:lang w:eastAsia="en-US"/>
              </w:rPr>
              <w:t xml:space="preserve"> </w:t>
            </w:r>
            <w:r w:rsidR="000B5D37">
              <w:rPr>
                <w:rFonts w:eastAsia="Calibri"/>
                <w:lang w:eastAsia="en-US"/>
              </w:rPr>
              <w:t>does not have to be classified for acute dermal toxicity</w:t>
            </w:r>
            <w:r w:rsidR="00820022">
              <w:rPr>
                <w:rFonts w:eastAsia="Calibri"/>
                <w:lang w:eastAsia="en-US"/>
              </w:rPr>
              <w:t xml:space="preserve"> based on the calculation rules</w:t>
            </w:r>
            <w:r w:rsidR="000B5D37">
              <w:rPr>
                <w:rFonts w:eastAsia="Calibri"/>
                <w:lang w:eastAsia="en-US"/>
              </w:rPr>
              <w:t>. This conclusion is supported by the results of an acute dermal toxicity study with rabbits with a read-across substance benzoic acid.</w:t>
            </w:r>
          </w:p>
        </w:tc>
      </w:tr>
      <w:tr w:rsidR="00CF59EF" w14:paraId="7B937943" w14:textId="77777777">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0C8A477B"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2FE4E78B" w14:textId="77777777" w:rsidR="00CF59EF" w:rsidRDefault="000B5D37">
            <w:pPr>
              <w:spacing w:line="260" w:lineRule="atLeast"/>
              <w:rPr>
                <w:rFonts w:eastAsia="Calibri"/>
                <w:lang w:eastAsia="en-US"/>
              </w:rPr>
            </w:pPr>
            <w:r>
              <w:rPr>
                <w:rFonts w:eastAsia="Calibri"/>
                <w:lang w:eastAsia="en-US"/>
              </w:rPr>
              <w:t>Not classified</w:t>
            </w:r>
          </w:p>
        </w:tc>
      </w:tr>
    </w:tbl>
    <w:p w14:paraId="63A00143" w14:textId="77777777" w:rsidR="004248D6" w:rsidRDefault="004248D6">
      <w:pPr>
        <w:spacing w:line="260" w:lineRule="atLeast"/>
        <w:rPr>
          <w:rFonts w:eastAsia="Calibri"/>
          <w:b/>
          <w:i/>
          <w:sz w:val="22"/>
          <w:szCs w:val="22"/>
          <w:lang w:eastAsia="en-US"/>
        </w:rPr>
      </w:pPr>
      <w:bookmarkStart w:id="1471" w:name="_Toc403472760"/>
      <w:bookmarkStart w:id="1472" w:name="_Toc389729058"/>
      <w:bookmarkEnd w:id="1471"/>
      <w:bookmarkEnd w:id="1472"/>
    </w:p>
    <w:p w14:paraId="0C5D6659" w14:textId="77777777" w:rsidR="00CF59EF" w:rsidRDefault="000B5D37">
      <w:pPr>
        <w:spacing w:line="260" w:lineRule="atLeast"/>
        <w:rPr>
          <w:rFonts w:eastAsia="Calibri"/>
          <w:b/>
          <w:i/>
          <w:sz w:val="22"/>
          <w:szCs w:val="22"/>
          <w:lang w:eastAsia="en-US"/>
        </w:rPr>
      </w:pPr>
      <w:r>
        <w:rPr>
          <w:rFonts w:eastAsia="Calibri"/>
          <w:b/>
          <w:i/>
          <w:sz w:val="22"/>
          <w:szCs w:val="22"/>
          <w:lang w:eastAsia="en-US"/>
        </w:rPr>
        <w:t>Information on dermal absorption</w:t>
      </w:r>
    </w:p>
    <w:p w14:paraId="762C133C" w14:textId="77777777" w:rsidR="00CF59EF" w:rsidRDefault="00CF59EF">
      <w:pPr>
        <w:spacing w:line="260" w:lineRule="atLeast"/>
        <w:rPr>
          <w:rFonts w:eastAsia="Calibri"/>
          <w:lang w:eastAsia="en-US"/>
        </w:rPr>
      </w:pPr>
    </w:p>
    <w:p w14:paraId="13EAD9C3" w14:textId="77777777" w:rsidR="00CF59EF" w:rsidRDefault="000B5D37">
      <w:pPr>
        <w:spacing w:line="260" w:lineRule="atLeast"/>
        <w:rPr>
          <w:rFonts w:eastAsia="Calibri"/>
          <w:lang w:eastAsia="en-US"/>
        </w:rPr>
      </w:pPr>
      <w:r>
        <w:rPr>
          <w:rFonts w:eastAsia="Calibri"/>
          <w:lang w:eastAsia="en-US"/>
        </w:rPr>
        <w:t>No information on dermal absorption of sodium benzoate is available. Sodium benzoate is not corrosive to skin</w:t>
      </w:r>
      <w:r w:rsidR="007B470C">
        <w:rPr>
          <w:rFonts w:eastAsia="Calibri"/>
          <w:lang w:eastAsia="en-US"/>
        </w:rPr>
        <w:t xml:space="preserve"> and the formulations are not skin corrosive</w:t>
      </w:r>
      <w:r>
        <w:rPr>
          <w:rFonts w:eastAsia="Calibri"/>
          <w:lang w:eastAsia="en-US"/>
        </w:rPr>
        <w:t xml:space="preserve">. In accordance with EFSA guidance on dermal absorption (2012), the default values of 25% and 75%, respectively, shall be used in the risk assessment for formulations containing &gt; 5% and ≤5% sodium benzoate, respectively. As oral absorption of sodium benzoate is considered to be 100%, no further refinement of dermal absorption values is possible. </w:t>
      </w:r>
    </w:p>
    <w:p w14:paraId="33B0D626" w14:textId="77777777" w:rsidR="00CF59EF" w:rsidRDefault="00CF59EF">
      <w:pPr>
        <w:spacing w:line="260" w:lineRule="atLeast"/>
        <w:rPr>
          <w:rFonts w:eastAsia="Calibri"/>
          <w:lang w:eastAsia="en-US"/>
        </w:rPr>
      </w:pPr>
    </w:p>
    <w:tbl>
      <w:tblPr>
        <w:tblW w:w="7527"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37"/>
        <w:gridCol w:w="2707"/>
        <w:gridCol w:w="2883"/>
      </w:tblGrid>
      <w:tr w:rsidR="00CF59EF" w14:paraId="7B3B2013" w14:textId="77777777">
        <w:tc>
          <w:tcPr>
            <w:tcW w:w="7527" w:type="dxa"/>
            <w:gridSpan w:val="3"/>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22142E26" w14:textId="77777777" w:rsidR="00CF59EF" w:rsidRDefault="000B5D37">
            <w:pPr>
              <w:spacing w:line="260" w:lineRule="atLeast"/>
              <w:rPr>
                <w:rFonts w:eastAsia="Calibri"/>
                <w:b/>
                <w:bCs/>
                <w:lang w:eastAsia="en-US"/>
              </w:rPr>
            </w:pPr>
            <w:r>
              <w:rPr>
                <w:rFonts w:eastAsia="Calibri"/>
                <w:b/>
                <w:bCs/>
                <w:lang w:eastAsia="en-US"/>
              </w:rPr>
              <w:t>Value(s) used in the Risk Assessment – Dermal absorption</w:t>
            </w:r>
          </w:p>
        </w:tc>
      </w:tr>
      <w:tr w:rsidR="00CF59EF" w14:paraId="555237E0" w14:textId="77777777">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264A628E" w14:textId="77777777" w:rsidR="00CF59EF" w:rsidRDefault="000B5D37">
            <w:pPr>
              <w:spacing w:line="260" w:lineRule="atLeast"/>
              <w:rPr>
                <w:rFonts w:eastAsia="Calibri"/>
                <w:lang w:eastAsia="en-US"/>
              </w:rPr>
            </w:pPr>
            <w:r>
              <w:rPr>
                <w:rFonts w:eastAsia="Calibri"/>
                <w:lang w:eastAsia="en-US"/>
              </w:rPr>
              <w:t>Substance</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14:paraId="0EB39990" w14:textId="77777777" w:rsidR="00CF59EF" w:rsidRDefault="000B5D37">
            <w:pPr>
              <w:spacing w:line="260" w:lineRule="atLeast"/>
              <w:rPr>
                <w:rFonts w:eastAsia="Calibri"/>
                <w:lang w:eastAsia="en-US"/>
              </w:rPr>
            </w:pPr>
            <w:r>
              <w:rPr>
                <w:rFonts w:eastAsia="Calibri"/>
                <w:lang w:eastAsia="en-US"/>
              </w:rPr>
              <w:t>Sodium benzoate &gt; 5%</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14:paraId="1B16D0BA" w14:textId="77777777" w:rsidR="00CF59EF" w:rsidRDefault="000B5D37">
            <w:pPr>
              <w:spacing w:line="260" w:lineRule="atLeast"/>
              <w:rPr>
                <w:rFonts w:eastAsia="Calibri"/>
                <w:lang w:eastAsia="en-US"/>
              </w:rPr>
            </w:pPr>
            <w:r>
              <w:rPr>
                <w:rFonts w:eastAsia="Calibri"/>
                <w:lang w:eastAsia="en-US"/>
              </w:rPr>
              <w:t>Sodium benzoate ≤5%</w:t>
            </w:r>
          </w:p>
        </w:tc>
      </w:tr>
      <w:tr w:rsidR="00CF59EF" w14:paraId="0EA6A014" w14:textId="77777777">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4E367114" w14:textId="77777777" w:rsidR="00CF59EF" w:rsidRDefault="000B5D37">
            <w:pPr>
              <w:spacing w:line="260" w:lineRule="atLeast"/>
              <w:rPr>
                <w:rFonts w:eastAsia="Calibri"/>
                <w:lang w:eastAsia="en-US"/>
              </w:rPr>
            </w:pPr>
            <w:r>
              <w:rPr>
                <w:rFonts w:eastAsia="Calibri"/>
                <w:lang w:eastAsia="en-US"/>
              </w:rPr>
              <w:t>Value(s)*</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14:paraId="199CEAE7" w14:textId="77777777" w:rsidR="00CF59EF" w:rsidRDefault="000B5D37">
            <w:pPr>
              <w:spacing w:line="260" w:lineRule="atLeast"/>
              <w:rPr>
                <w:rFonts w:eastAsia="Calibri"/>
                <w:lang w:eastAsia="en-US"/>
              </w:rPr>
            </w:pPr>
            <w:r>
              <w:rPr>
                <w:rFonts w:eastAsia="Calibri"/>
                <w:lang w:eastAsia="en-US"/>
              </w:rPr>
              <w:t>25%</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14:paraId="33EC6334" w14:textId="77777777" w:rsidR="00CF59EF" w:rsidRDefault="000B5D37">
            <w:pPr>
              <w:spacing w:line="260" w:lineRule="atLeast"/>
              <w:rPr>
                <w:rFonts w:eastAsia="Calibri"/>
                <w:lang w:eastAsia="en-US"/>
              </w:rPr>
            </w:pPr>
            <w:r>
              <w:rPr>
                <w:rFonts w:eastAsia="Calibri"/>
                <w:lang w:eastAsia="en-US"/>
              </w:rPr>
              <w:t>75%</w:t>
            </w:r>
          </w:p>
        </w:tc>
      </w:tr>
      <w:tr w:rsidR="00CF59EF" w14:paraId="7C527AC4" w14:textId="77777777">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2957DF1B" w14:textId="77777777" w:rsidR="00CF59EF" w:rsidRDefault="000B5D37">
            <w:pPr>
              <w:spacing w:line="260" w:lineRule="atLeast"/>
              <w:rPr>
                <w:rFonts w:eastAsia="Calibri"/>
                <w:lang w:eastAsia="en-US"/>
              </w:rPr>
            </w:pPr>
            <w:r>
              <w:rPr>
                <w:rFonts w:eastAsia="Calibri"/>
                <w:lang w:eastAsia="en-US"/>
              </w:rPr>
              <w:t>Justification for the selected value(s)</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14:paraId="2B16DF5C" w14:textId="77777777" w:rsidR="00CF59EF" w:rsidRDefault="000B5D37">
            <w:pPr>
              <w:spacing w:line="260" w:lineRule="atLeast"/>
              <w:rPr>
                <w:rFonts w:eastAsia="Calibri"/>
                <w:lang w:eastAsia="en-US"/>
              </w:rPr>
            </w:pPr>
            <w:r>
              <w:rPr>
                <w:rFonts w:eastAsia="Calibri"/>
                <w:lang w:eastAsia="en-US"/>
              </w:rPr>
              <w:t>Default value according to the EFSA Guidance on dermal absorption (2012)</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14:paraId="27838A04" w14:textId="77777777" w:rsidR="00CF59EF" w:rsidRDefault="000B5D37">
            <w:pPr>
              <w:spacing w:line="260" w:lineRule="atLeast"/>
              <w:rPr>
                <w:rFonts w:eastAsia="Calibri"/>
                <w:lang w:eastAsia="en-US"/>
              </w:rPr>
            </w:pPr>
            <w:r>
              <w:rPr>
                <w:rFonts w:eastAsia="Calibri"/>
                <w:lang w:eastAsia="en-US"/>
              </w:rPr>
              <w:t>Default value according to the EFSA Guidance on dermal absorption (2012)</w:t>
            </w:r>
          </w:p>
        </w:tc>
      </w:tr>
    </w:tbl>
    <w:p w14:paraId="033C9DB4" w14:textId="77777777" w:rsidR="00CF59EF" w:rsidRDefault="00CF59EF">
      <w:pPr>
        <w:spacing w:line="260" w:lineRule="atLeast"/>
        <w:rPr>
          <w:rFonts w:eastAsia="Calibri"/>
          <w:lang w:eastAsia="en-US"/>
        </w:rPr>
      </w:pPr>
    </w:p>
    <w:p w14:paraId="477AB677" w14:textId="77777777" w:rsidR="004248D6" w:rsidRDefault="004248D6">
      <w:pPr>
        <w:spacing w:line="260" w:lineRule="atLeast"/>
        <w:rPr>
          <w:rFonts w:eastAsia="Calibri"/>
          <w:lang w:eastAsia="en-US"/>
        </w:rPr>
      </w:pPr>
      <w:r w:rsidRPr="004248D6">
        <w:rPr>
          <w:rFonts w:eastAsia="Calibri"/>
          <w:noProof/>
          <w:lang w:val="nl-NL" w:eastAsia="nl-NL"/>
        </w:rPr>
        <mc:AlternateContent>
          <mc:Choice Requires="wps">
            <w:drawing>
              <wp:inline distT="0" distB="0" distL="0" distR="0" wp14:anchorId="301D81A4" wp14:editId="77034851">
                <wp:extent cx="6124575" cy="1403985"/>
                <wp:effectExtent l="0" t="0" r="28575" b="27305"/>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chemeClr val="bg1">
                            <a:lumMod val="85000"/>
                          </a:schemeClr>
                        </a:solidFill>
                        <a:ln w="9525">
                          <a:solidFill>
                            <a:srgbClr val="000000"/>
                          </a:solidFill>
                          <a:miter lim="800000"/>
                          <a:headEnd/>
                          <a:tailEnd/>
                        </a:ln>
                      </wps:spPr>
                      <wps:txbx>
                        <w:txbxContent>
                          <w:p w14:paraId="1585FD40" w14:textId="77777777" w:rsidR="00980D14" w:rsidRPr="004248D6" w:rsidRDefault="00980D14">
                            <w:pPr>
                              <w:rPr>
                                <w:lang w:val="en-US"/>
                              </w:rPr>
                            </w:pPr>
                            <w:r>
                              <w:t xml:space="preserve">NL CA remark: </w:t>
                            </w:r>
                            <w:r w:rsidRPr="004248D6">
                              <w:t xml:space="preserve">The approach to the toxicological evaluation of </w:t>
                            </w:r>
                            <w:r>
                              <w:t xml:space="preserve">sodium benzoate that will be marketed as </w:t>
                            </w:r>
                            <w:r w:rsidRPr="006F39CC">
                              <w:t>Kalaguard® SB</w:t>
                            </w:r>
                            <w:r w:rsidRPr="004248D6">
                              <w:t xml:space="preserve"> is largely based on the data on a substance analogue (and precursor) of sodium benzoate, benzoic acid. Benzoic acid has been evaluated under the BPR Review Programme and </w:t>
                            </w:r>
                            <w:r>
                              <w:t>t</w:t>
                            </w:r>
                            <w:r w:rsidRPr="004248D6">
                              <w:t xml:space="preserve">he agreed EU conclusions </w:t>
                            </w:r>
                            <w:r>
                              <w:t>the</w:t>
                            </w:r>
                            <w:r w:rsidRPr="004248D6">
                              <w:t xml:space="preserve"> dermal absorption of benzoic acid should apply here. The PT 3 and PT4 CARs for benzoic acid concludes a </w:t>
                            </w:r>
                            <w:r>
                              <w:t>dermal absorption</w:t>
                            </w:r>
                            <w:r w:rsidRPr="004248D6">
                              <w:t xml:space="preserve"> range (including human data) of approximately 40 % in vivo in humans (14 - 43 %) and 70 % (53 - 99 %) in vitro in human skin. </w:t>
                            </w:r>
                            <w:r>
                              <w:t>As there is no further justification presented, t</w:t>
                            </w:r>
                            <w:r w:rsidRPr="004248D6">
                              <w:t xml:space="preserve">he </w:t>
                            </w:r>
                            <w:r>
                              <w:t>NL CA</w:t>
                            </w:r>
                            <w:r w:rsidRPr="004248D6">
                              <w:t xml:space="preserve"> </w:t>
                            </w:r>
                            <w:r>
                              <w:t>applies</w:t>
                            </w:r>
                            <w:r w:rsidRPr="004248D6">
                              <w:t xml:space="preserve"> a value of 75% </w:t>
                            </w:r>
                            <w:r>
                              <w:t>to</w:t>
                            </w:r>
                            <w:r w:rsidRPr="004248D6">
                              <w:t xml:space="preserve"> both the concentrate and the in-use dilution</w:t>
                            </w:r>
                            <w:r>
                              <w:t xml:space="preserve"> in the risk assessment. </w:t>
                            </w:r>
                          </w:p>
                        </w:txbxContent>
                      </wps:txbx>
                      <wps:bodyPr rot="0" vert="horz" wrap="square" lIns="91440" tIns="45720" rIns="91440" bIns="45720" anchor="t" anchorCtr="0">
                        <a:spAutoFit/>
                      </wps:bodyPr>
                    </wps:wsp>
                  </a:graphicData>
                </a:graphic>
              </wp:inline>
            </w:drawing>
          </mc:Choice>
          <mc:Fallback>
            <w:pict>
              <v:shape w14:anchorId="301D81A4" id="_x0000_s1027" type="#_x0000_t202" style="width:48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" fillcolor="#d8d8d8 [2732]">
                <v:textbox style="mso-fit-shape-to-text:t">
                  <w:txbxContent>
                    <w:p w14:paraId="1585FD40" w14:textId="77777777" w:rsidR="00980D14" w:rsidRPr="004248D6" w:rsidRDefault="00980D14">
                      <w:pPr>
                        <w:rPr>
                          <w:lang w:val="en-US"/>
                        </w:rPr>
                      </w:pPr>
                      <w:r>
                        <w:t xml:space="preserve">NL CA remark: </w:t>
                      </w:r>
                      <w:r w:rsidRPr="004248D6">
                        <w:t xml:space="preserve">The approach to the toxicological evaluation of </w:t>
                      </w:r>
                      <w:r>
                        <w:t xml:space="preserve">sodium benzoate that will be marketed as </w:t>
                      </w:r>
                      <w:r w:rsidRPr="006F39CC">
                        <w:t>Kalaguard® SB</w:t>
                      </w:r>
                      <w:r w:rsidRPr="004248D6">
                        <w:t xml:space="preserve"> is largely based on the data on a substance analogue (and precursor) of sodium benzoate, benzoic acid. Benzoic acid has been evaluated under the BPR Review Programme and </w:t>
                      </w:r>
                      <w:r>
                        <w:t>t</w:t>
                      </w:r>
                      <w:r w:rsidRPr="004248D6">
                        <w:t xml:space="preserve">he agreed EU conclusions </w:t>
                      </w:r>
                      <w:r>
                        <w:t>the</w:t>
                      </w:r>
                      <w:r w:rsidRPr="004248D6">
                        <w:t xml:space="preserve"> dermal absorption of benzoic acid should apply here. The PT 3 and PT4 CARs for benzoic acid concludes a </w:t>
                      </w:r>
                      <w:r>
                        <w:t>dermal absorption</w:t>
                      </w:r>
                      <w:r w:rsidRPr="004248D6">
                        <w:t xml:space="preserve"> range (including human data) of approximately 40 % in vivo in humans (14 - 43 %) and 70 % (53 - 99 %) in vitro in human skin. </w:t>
                      </w:r>
                      <w:r>
                        <w:t>As there is no further justification presented, t</w:t>
                      </w:r>
                      <w:r w:rsidRPr="004248D6">
                        <w:t xml:space="preserve">he </w:t>
                      </w:r>
                      <w:r>
                        <w:t>NL CA</w:t>
                      </w:r>
                      <w:r w:rsidRPr="004248D6">
                        <w:t xml:space="preserve"> </w:t>
                      </w:r>
                      <w:r>
                        <w:t>applies</w:t>
                      </w:r>
                      <w:r w:rsidRPr="004248D6">
                        <w:t xml:space="preserve"> a value of 75% </w:t>
                      </w:r>
                      <w:r>
                        <w:t>to</w:t>
                      </w:r>
                      <w:r w:rsidRPr="004248D6">
                        <w:t xml:space="preserve"> both the concentrate and the in-use dilution</w:t>
                      </w:r>
                      <w:r>
                        <w:t xml:space="preserve"> in the risk assessment. </w:t>
                      </w:r>
                    </w:p>
                  </w:txbxContent>
                </v:textbox>
                <w10:anchorlock/>
              </v:shape>
            </w:pict>
          </mc:Fallback>
        </mc:AlternateContent>
      </w:r>
    </w:p>
    <w:p w14:paraId="49B6D64A" w14:textId="77777777" w:rsidR="004248D6" w:rsidRDefault="004248D6">
      <w:pPr>
        <w:spacing w:line="260" w:lineRule="atLeast"/>
        <w:rPr>
          <w:rFonts w:eastAsia="Calibri"/>
          <w:lang w:eastAsia="en-US"/>
        </w:rPr>
      </w:pPr>
    </w:p>
    <w:p w14:paraId="0647A450" w14:textId="77777777" w:rsidR="00CF59EF" w:rsidRDefault="000B5D37">
      <w:pPr>
        <w:rPr>
          <w:rFonts w:eastAsia="Calibri"/>
          <w:b/>
          <w:i/>
          <w:sz w:val="22"/>
          <w:szCs w:val="22"/>
          <w:lang w:eastAsia="en-US"/>
        </w:rPr>
      </w:pPr>
      <w:bookmarkStart w:id="1473" w:name="_Toc403472761"/>
      <w:bookmarkStart w:id="1474" w:name="_Toc389729059"/>
      <w:bookmarkEnd w:id="1473"/>
      <w:bookmarkEnd w:id="1474"/>
      <w:r>
        <w:rPr>
          <w:rFonts w:eastAsia="Calibri"/>
          <w:b/>
          <w:i/>
          <w:sz w:val="22"/>
          <w:szCs w:val="22"/>
          <w:lang w:eastAsia="en-US"/>
        </w:rPr>
        <w:t xml:space="preserve">Available toxicological data relating to </w:t>
      </w:r>
      <w:proofErr w:type="spellStart"/>
      <w:r>
        <w:rPr>
          <w:rFonts w:eastAsia="Calibri"/>
          <w:b/>
          <w:i/>
          <w:sz w:val="22"/>
          <w:szCs w:val="22"/>
          <w:lang w:eastAsia="en-US"/>
        </w:rPr>
        <w:t>non active</w:t>
      </w:r>
      <w:proofErr w:type="spellEnd"/>
      <w:r>
        <w:rPr>
          <w:rFonts w:eastAsia="Calibri"/>
          <w:b/>
          <w:i/>
          <w:sz w:val="22"/>
          <w:szCs w:val="22"/>
          <w:lang w:eastAsia="en-US"/>
        </w:rPr>
        <w:t xml:space="preserve"> substance(s) (i.e. substance(s) of concern)</w:t>
      </w:r>
    </w:p>
    <w:p w14:paraId="057732DC" w14:textId="77777777" w:rsidR="00CF59EF" w:rsidRDefault="000B5D37">
      <w:pPr>
        <w:spacing w:line="260" w:lineRule="atLeast"/>
        <w:jc w:val="both"/>
        <w:rPr>
          <w:rFonts w:eastAsia="Calibri"/>
          <w:iCs/>
          <w:lang w:eastAsia="en-US"/>
        </w:rPr>
      </w:pPr>
      <w:r>
        <w:rPr>
          <w:rFonts w:eastAsia="Calibri"/>
          <w:iCs/>
          <w:lang w:eastAsia="en-US"/>
        </w:rPr>
        <w:t xml:space="preserve">Not applicable, the product does not contain substances of concern. </w:t>
      </w:r>
    </w:p>
    <w:p w14:paraId="48E6D253" w14:textId="77777777" w:rsidR="00CF59EF" w:rsidRDefault="00CF59EF">
      <w:pPr>
        <w:spacing w:line="260" w:lineRule="atLeast"/>
        <w:rPr>
          <w:rFonts w:eastAsia="Calibri"/>
          <w:lang w:eastAsia="en-US"/>
        </w:rPr>
      </w:pPr>
    </w:p>
    <w:p w14:paraId="5A1FA107" w14:textId="77777777" w:rsidR="00CF59EF" w:rsidRDefault="000B5D37">
      <w:pPr>
        <w:rPr>
          <w:rFonts w:eastAsia="Calibri"/>
          <w:b/>
          <w:i/>
          <w:sz w:val="22"/>
          <w:szCs w:val="22"/>
          <w:lang w:eastAsia="en-US"/>
        </w:rPr>
      </w:pPr>
      <w:bookmarkStart w:id="1475" w:name="_Toc403472762"/>
      <w:bookmarkStart w:id="1476" w:name="_Toc389729060"/>
      <w:r>
        <w:rPr>
          <w:rFonts w:eastAsia="Calibri"/>
          <w:b/>
          <w:i/>
          <w:sz w:val="22"/>
          <w:szCs w:val="22"/>
          <w:lang w:eastAsia="en-US"/>
        </w:rPr>
        <w:lastRenderedPageBreak/>
        <w:t>Available toxicological data relating to a mixture</w:t>
      </w:r>
      <w:bookmarkEnd w:id="1475"/>
      <w:bookmarkEnd w:id="1476"/>
      <w:r>
        <w:rPr>
          <w:rFonts w:eastAsia="Calibri"/>
          <w:b/>
          <w:i/>
          <w:sz w:val="22"/>
          <w:szCs w:val="22"/>
          <w:lang w:eastAsia="en-US"/>
        </w:rPr>
        <w:t xml:space="preserve"> </w:t>
      </w:r>
    </w:p>
    <w:p w14:paraId="0A717272" w14:textId="77777777" w:rsidR="00CF59EF" w:rsidRDefault="000B5D37">
      <w:pPr>
        <w:spacing w:line="260" w:lineRule="atLeast"/>
        <w:jc w:val="both"/>
        <w:rPr>
          <w:rFonts w:eastAsia="Calibri"/>
          <w:iCs/>
          <w:lang w:eastAsia="en-US"/>
        </w:rPr>
      </w:pPr>
      <w:r>
        <w:rPr>
          <w:rFonts w:eastAsia="Calibri"/>
          <w:iCs/>
          <w:lang w:eastAsia="en-US"/>
        </w:rPr>
        <w:t xml:space="preserve">Not applicable, the product does not contain substances of concern. </w:t>
      </w:r>
    </w:p>
    <w:p w14:paraId="3D403E48" w14:textId="77777777" w:rsidR="00CF59EF" w:rsidRDefault="00CF59EF">
      <w:pPr>
        <w:spacing w:line="260" w:lineRule="atLeast"/>
        <w:rPr>
          <w:rFonts w:ascii="Times New Roman" w:eastAsia="Calibri" w:hAnsi="Times New Roman"/>
          <w:i/>
          <w:iCs/>
          <w:lang w:eastAsia="en-US"/>
        </w:rPr>
      </w:pPr>
    </w:p>
    <w:p w14:paraId="64A212D7" w14:textId="77777777" w:rsidR="00CF59EF" w:rsidRDefault="000B5D37">
      <w:pPr>
        <w:rPr>
          <w:rFonts w:eastAsia="Calibri"/>
          <w:b/>
          <w:i/>
          <w:sz w:val="22"/>
          <w:szCs w:val="22"/>
          <w:lang w:eastAsia="en-US"/>
        </w:rPr>
      </w:pPr>
      <w:bookmarkStart w:id="1477" w:name="_Toc403472763"/>
      <w:bookmarkStart w:id="1478" w:name="_Toc389729061"/>
      <w:bookmarkEnd w:id="1477"/>
      <w:bookmarkEnd w:id="1478"/>
      <w:r>
        <w:rPr>
          <w:rFonts w:eastAsia="Calibri"/>
          <w:b/>
          <w:i/>
          <w:sz w:val="22"/>
          <w:szCs w:val="22"/>
          <w:lang w:eastAsia="en-US"/>
        </w:rPr>
        <w:t>Other</w:t>
      </w:r>
    </w:p>
    <w:p w14:paraId="38B9B545" w14:textId="77777777" w:rsidR="00CF59EF" w:rsidRDefault="00CF59EF">
      <w:pPr>
        <w:spacing w:line="260" w:lineRule="atLeast"/>
        <w:jc w:val="both"/>
        <w:rPr>
          <w:rFonts w:eastAsia="Calibri"/>
          <w:iCs/>
          <w:lang w:eastAsia="en-US"/>
        </w:rPr>
      </w:pPr>
    </w:p>
    <w:p w14:paraId="476BF8E0" w14:textId="77777777" w:rsidR="00CF59EF" w:rsidRDefault="000B5D37">
      <w:pPr>
        <w:spacing w:line="260" w:lineRule="atLeast"/>
        <w:jc w:val="both"/>
        <w:rPr>
          <w:rFonts w:eastAsia="Calibri"/>
          <w:iCs/>
          <w:lang w:eastAsia="en-US"/>
        </w:rPr>
      </w:pPr>
      <w:r>
        <w:rPr>
          <w:rFonts w:eastAsia="Calibri"/>
          <w:lang w:eastAsia="en-US"/>
        </w:rPr>
        <w:t xml:space="preserve">Benzoic acid has been evaluated under the BPR Review Programme. The relevant data are for the major part based on data on a substance analogue (and precursor) of sodium benzoate, benzoic acid. The data are submitted as a part of the IUCLID active substance dataset within the current application. Below a short summary is given on toxicity endpoints that have not been discussed. </w:t>
      </w:r>
      <w:r w:rsidR="004B0E9D">
        <w:rPr>
          <w:rFonts w:eastAsia="Calibri"/>
          <w:lang w:eastAsia="en-US"/>
        </w:rPr>
        <w:t xml:space="preserve"> </w:t>
      </w:r>
    </w:p>
    <w:p w14:paraId="143776EE" w14:textId="77777777" w:rsidR="00CF59EF" w:rsidRDefault="00CF59EF">
      <w:pPr>
        <w:spacing w:line="260" w:lineRule="atLeast"/>
        <w:jc w:val="both"/>
        <w:rPr>
          <w:rFonts w:eastAsia="Calibri"/>
          <w:iCs/>
          <w:lang w:eastAsia="en-US"/>
        </w:rPr>
      </w:pPr>
    </w:p>
    <w:p w14:paraId="2EDA3BDD" w14:textId="77777777" w:rsidR="00CF59EF" w:rsidRDefault="000B5D37">
      <w:pPr>
        <w:spacing w:line="260" w:lineRule="atLeast"/>
        <w:jc w:val="both"/>
        <w:rPr>
          <w:rFonts w:eastAsia="Calibri"/>
          <w:b/>
          <w:iCs/>
          <w:lang w:eastAsia="en-US"/>
        </w:rPr>
      </w:pPr>
      <w:r>
        <w:rPr>
          <w:rFonts w:eastAsia="Calibri"/>
          <w:b/>
          <w:iCs/>
          <w:lang w:eastAsia="en-US"/>
        </w:rPr>
        <w:t>Genetic toxicity in vitro/in vivo</w:t>
      </w:r>
    </w:p>
    <w:p w14:paraId="053757FE" w14:textId="77777777" w:rsidR="00CF59EF" w:rsidRDefault="000B5D37">
      <w:pPr>
        <w:spacing w:line="260" w:lineRule="atLeast"/>
        <w:jc w:val="both"/>
        <w:rPr>
          <w:rFonts w:eastAsia="Calibri"/>
          <w:iCs/>
          <w:lang w:eastAsia="en-US"/>
        </w:rPr>
      </w:pPr>
      <w:r>
        <w:rPr>
          <w:rFonts w:eastAsia="Calibri"/>
          <w:iCs/>
          <w:lang w:eastAsia="en-US"/>
        </w:rPr>
        <w:t xml:space="preserve">Sodium benzoate does not induce mutations in assays with </w:t>
      </w:r>
      <w:r>
        <w:rPr>
          <w:rFonts w:eastAsia="Calibri"/>
          <w:i/>
          <w:iCs/>
          <w:lang w:eastAsia="en-US"/>
        </w:rPr>
        <w:t>Salmonella typhimurium</w:t>
      </w:r>
      <w:r>
        <w:rPr>
          <w:rFonts w:eastAsia="Calibri"/>
          <w:iCs/>
          <w:lang w:eastAsia="en-US"/>
        </w:rPr>
        <w:t xml:space="preserve"> and </w:t>
      </w:r>
      <w:r>
        <w:rPr>
          <w:rFonts w:eastAsia="Calibri"/>
          <w:i/>
          <w:iCs/>
          <w:lang w:eastAsia="en-US"/>
        </w:rPr>
        <w:t>Escherichia coli</w:t>
      </w:r>
      <w:r>
        <w:rPr>
          <w:rFonts w:eastAsia="Calibri"/>
          <w:iCs/>
          <w:lang w:eastAsia="en-US"/>
        </w:rPr>
        <w:t xml:space="preserve"> with and without metabolic activation (</w:t>
      </w:r>
      <w:proofErr w:type="spellStart"/>
      <w:r w:rsidR="005D5483" w:rsidRPr="002F4C58">
        <w:rPr>
          <w:rFonts w:eastAsia="Calibri"/>
          <w:highlight w:val="black"/>
        </w:rPr>
        <w:t>xxxxx</w:t>
      </w:r>
      <w:proofErr w:type="spellEnd"/>
      <w:r>
        <w:rPr>
          <w:rFonts w:eastAsia="Calibri"/>
          <w:iCs/>
          <w:lang w:eastAsia="en-US"/>
        </w:rPr>
        <w:t xml:space="preserve">). </w:t>
      </w:r>
    </w:p>
    <w:p w14:paraId="3737626C" w14:textId="77777777" w:rsidR="00CF59EF" w:rsidRDefault="000B5D37">
      <w:pPr>
        <w:spacing w:line="260" w:lineRule="atLeast"/>
        <w:jc w:val="both"/>
        <w:rPr>
          <w:rFonts w:eastAsia="Calibri"/>
          <w:iCs/>
          <w:lang w:eastAsia="en-US"/>
        </w:rPr>
      </w:pPr>
      <w:r>
        <w:rPr>
          <w:rFonts w:eastAsia="Calibri"/>
          <w:i/>
          <w:iCs/>
          <w:lang w:eastAsia="en-US"/>
        </w:rPr>
        <w:t>In vivo</w:t>
      </w:r>
      <w:r>
        <w:rPr>
          <w:rFonts w:eastAsia="Calibri"/>
          <w:iCs/>
          <w:lang w:eastAsia="en-US"/>
        </w:rPr>
        <w:t xml:space="preserve">, the test substance showed to be negative in a dominant lethal study, in an </w:t>
      </w:r>
      <w:r>
        <w:rPr>
          <w:rFonts w:eastAsia="Calibri"/>
          <w:i/>
          <w:iCs/>
          <w:lang w:eastAsia="en-US"/>
        </w:rPr>
        <w:t>in vivo</w:t>
      </w:r>
      <w:r>
        <w:rPr>
          <w:rFonts w:eastAsia="Calibri"/>
          <w:iCs/>
          <w:lang w:eastAsia="en-US"/>
        </w:rPr>
        <w:t xml:space="preserve"> chromosome aberration test and a host mediated assay (</w:t>
      </w:r>
      <w:proofErr w:type="spellStart"/>
      <w:r w:rsidR="005D5483" w:rsidRPr="002F4C58">
        <w:rPr>
          <w:rFonts w:eastAsia="Calibri"/>
          <w:highlight w:val="black"/>
        </w:rPr>
        <w:t>xxxxx</w:t>
      </w:r>
      <w:proofErr w:type="spellEnd"/>
      <w:r>
        <w:rPr>
          <w:rFonts w:eastAsia="Calibri"/>
          <w:iCs/>
          <w:lang w:eastAsia="en-US"/>
        </w:rPr>
        <w:t>).</w:t>
      </w:r>
    </w:p>
    <w:p w14:paraId="62C79715" w14:textId="77777777" w:rsidR="00CF59EF" w:rsidRDefault="00CF59EF">
      <w:pPr>
        <w:spacing w:line="260" w:lineRule="atLeast"/>
        <w:jc w:val="both"/>
        <w:rPr>
          <w:rFonts w:eastAsia="Calibri"/>
          <w:iCs/>
          <w:lang w:eastAsia="en-US"/>
        </w:rPr>
      </w:pPr>
    </w:p>
    <w:p w14:paraId="1DFBF645" w14:textId="77777777" w:rsidR="00CF59EF" w:rsidRDefault="000B5D37">
      <w:pPr>
        <w:spacing w:line="260" w:lineRule="atLeast"/>
        <w:jc w:val="both"/>
        <w:rPr>
          <w:rFonts w:eastAsia="Calibri"/>
          <w:iCs/>
          <w:lang w:eastAsia="en-US"/>
        </w:rPr>
      </w:pPr>
      <w:r>
        <w:rPr>
          <w:rFonts w:eastAsia="Calibri"/>
          <w:iCs/>
          <w:lang w:eastAsia="en-US"/>
        </w:rPr>
        <w:t xml:space="preserve">Taken all available data together, it is concluded that sodium benzoate is not mutagenic or clastogenic </w:t>
      </w:r>
      <w:r>
        <w:rPr>
          <w:rFonts w:eastAsia="Calibri"/>
          <w:i/>
          <w:iCs/>
          <w:lang w:eastAsia="en-US"/>
        </w:rPr>
        <w:t>in vivo</w:t>
      </w:r>
      <w:r>
        <w:rPr>
          <w:rFonts w:eastAsia="Calibri"/>
          <w:iCs/>
          <w:lang w:eastAsia="en-US"/>
        </w:rPr>
        <w:t>. This is further supported by the negative outcome of carcinogenicity studies in both rats and mice.</w:t>
      </w:r>
    </w:p>
    <w:p w14:paraId="66236F49" w14:textId="77777777" w:rsidR="005B6320" w:rsidRDefault="005B6320">
      <w:pPr>
        <w:spacing w:line="260" w:lineRule="atLeast"/>
        <w:rPr>
          <w:rFonts w:eastAsia="Calibri"/>
          <w:lang w:eastAsia="en-US"/>
        </w:rPr>
      </w:pPr>
    </w:p>
    <w:p w14:paraId="78712287" w14:textId="77777777" w:rsidR="00CF59EF" w:rsidRDefault="000B5D37">
      <w:pPr>
        <w:spacing w:line="260" w:lineRule="atLeast"/>
        <w:rPr>
          <w:rFonts w:eastAsia="Calibri"/>
          <w:lang w:eastAsia="en-US"/>
        </w:rPr>
      </w:pPr>
      <w:r>
        <w:rPr>
          <w:rFonts w:eastAsia="Calibri"/>
          <w:lang w:eastAsia="en-US"/>
        </w:rPr>
        <w:t>Human data:</w:t>
      </w:r>
    </w:p>
    <w:p w14:paraId="27467B2C" w14:textId="77777777" w:rsidR="00CF59EF" w:rsidRDefault="00CF59EF">
      <w:pPr>
        <w:spacing w:line="260" w:lineRule="atLeast"/>
        <w:rPr>
          <w:rFonts w:eastAsia="Calibri"/>
          <w:lang w:eastAsia="en-US"/>
        </w:rPr>
      </w:pPr>
    </w:p>
    <w:p w14:paraId="55F010A3" w14:textId="77777777" w:rsidR="005B6320" w:rsidRDefault="000B5D37">
      <w:pPr>
        <w:spacing w:line="260" w:lineRule="atLeast"/>
        <w:rPr>
          <w:rFonts w:eastAsia="Calibri"/>
          <w:lang w:eastAsia="en-US"/>
        </w:rPr>
      </w:pPr>
      <w:r>
        <w:rPr>
          <w:rFonts w:eastAsia="Calibri"/>
          <w:lang w:eastAsia="en-US"/>
        </w:rPr>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 xml:space="preserve">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current maximum of 0.1% in food. There are no indications of genotoxicity of sodium benzoate in humans. </w:t>
      </w:r>
    </w:p>
    <w:p w14:paraId="75BB2C41" w14:textId="77777777" w:rsidR="00CF59EF" w:rsidRDefault="000B5D37">
      <w:pPr>
        <w:spacing w:line="260" w:lineRule="atLeast"/>
        <w:rPr>
          <w:rFonts w:eastAsia="Calibri"/>
          <w:lang w:eastAsia="en-US"/>
        </w:rPr>
      </w:pPr>
      <w:r>
        <w:rPr>
          <w:rFonts w:eastAsia="Calibri"/>
          <w:lang w:eastAsia="en-US"/>
        </w:rPr>
        <w:t xml:space="preserve"> </w:t>
      </w:r>
    </w:p>
    <w:p w14:paraId="289DC129" w14:textId="77777777" w:rsidR="00CF59EF" w:rsidRDefault="000B5D37" w:rsidP="006738CA">
      <w:pPr>
        <w:spacing w:line="260" w:lineRule="atLeast"/>
        <w:jc w:val="both"/>
        <w:rPr>
          <w:rFonts w:eastAsia="Calibri"/>
          <w:b/>
          <w:iCs/>
          <w:lang w:eastAsia="en-US"/>
        </w:rPr>
      </w:pPr>
      <w:r>
        <w:rPr>
          <w:rFonts w:eastAsia="Calibri"/>
          <w:b/>
          <w:iCs/>
          <w:lang w:eastAsia="en-US"/>
        </w:rPr>
        <w:t>Repeated dose toxicity</w:t>
      </w:r>
    </w:p>
    <w:p w14:paraId="47080C00" w14:textId="77777777" w:rsidR="006738CA" w:rsidRPr="006738CA" w:rsidRDefault="006738CA" w:rsidP="006738CA">
      <w:pPr>
        <w:spacing w:line="260" w:lineRule="atLeast"/>
        <w:jc w:val="both"/>
        <w:rPr>
          <w:rFonts w:eastAsia="Calibri"/>
          <w:b/>
          <w:iCs/>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661"/>
        <w:gridCol w:w="1120"/>
        <w:gridCol w:w="1569"/>
        <w:gridCol w:w="1441"/>
        <w:gridCol w:w="1183"/>
        <w:gridCol w:w="1107"/>
        <w:gridCol w:w="1122"/>
      </w:tblGrid>
      <w:tr w:rsidR="00CF59EF" w14:paraId="7F2D4271" w14:textId="77777777" w:rsidTr="003F660A">
        <w:tc>
          <w:tcPr>
            <w:tcW w:w="5000" w:type="pct"/>
            <w:gridSpan w:val="7"/>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1AC12821" w14:textId="77777777" w:rsidR="00CF59EF" w:rsidRDefault="000B5D37">
            <w:pPr>
              <w:spacing w:line="260" w:lineRule="atLeast"/>
              <w:jc w:val="center"/>
              <w:rPr>
                <w:rFonts w:eastAsia="Calibri"/>
                <w:b/>
                <w:lang w:eastAsia="en-US"/>
              </w:rPr>
            </w:pPr>
            <w:r>
              <w:rPr>
                <w:rFonts w:eastAsia="Calibri"/>
                <w:b/>
                <w:lang w:eastAsia="en-US"/>
              </w:rPr>
              <w:t>Summary table of key studies on repeated dose toxicity</w:t>
            </w:r>
          </w:p>
        </w:tc>
      </w:tr>
      <w:tr w:rsidR="00CF59EF" w14:paraId="4FEFF4D1" w14:textId="77777777"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ADBB2" w14:textId="77777777" w:rsidR="00CF59EF" w:rsidRDefault="000B5D37">
            <w:pPr>
              <w:keepNext/>
              <w:spacing w:line="260" w:lineRule="atLeast"/>
              <w:rPr>
                <w:rFonts w:eastAsia="Calibri"/>
                <w:b/>
                <w:bCs/>
                <w:lang w:eastAsia="en-GB"/>
              </w:rPr>
            </w:pPr>
            <w:r>
              <w:rPr>
                <w:rFonts w:eastAsia="Calibri"/>
                <w:b/>
                <w:bCs/>
                <w:lang w:eastAsia="en-GB"/>
              </w:rPr>
              <w:lastRenderedPageBreak/>
              <w:t>Method Guideline</w:t>
            </w:r>
          </w:p>
          <w:p w14:paraId="66AAEBD7" w14:textId="77777777" w:rsidR="00CF59EF" w:rsidRDefault="000B5D37">
            <w:pPr>
              <w:spacing w:line="260" w:lineRule="atLeast"/>
              <w:rPr>
                <w:rFonts w:eastAsia="Calibri"/>
                <w:lang w:eastAsia="en-US"/>
              </w:rPr>
            </w:pPr>
            <w:r>
              <w:rPr>
                <w:rFonts w:eastAsia="Calibri"/>
                <w:b/>
                <w:bCs/>
                <w:lang w:eastAsia="en-GB"/>
              </w:rPr>
              <w:t>GLP status, Reliability</w:t>
            </w:r>
            <w:r>
              <w:rPr>
                <w:rFonts w:eastAsia="Calibri"/>
                <w:lang w:eastAsia="en-US"/>
              </w:rPr>
              <w:t xml:space="preserve"> </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268F71" w14:textId="77777777"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59B0F3" w14:textId="77777777" w:rsidR="00CF59EF" w:rsidRDefault="000B5D37">
            <w:pPr>
              <w:spacing w:line="260" w:lineRule="atLeast"/>
              <w:rPr>
                <w:rFonts w:eastAsia="Calibri"/>
                <w:b/>
                <w:lang w:eastAsia="en-GB"/>
              </w:rPr>
            </w:pPr>
            <w:r>
              <w:rPr>
                <w:rFonts w:eastAsia="Calibri"/>
                <w:b/>
                <w:lang w:eastAsia="en-GB"/>
              </w:rPr>
              <w:t>Test substance</w:t>
            </w:r>
          </w:p>
          <w:p w14:paraId="1BE63E62" w14:textId="77777777" w:rsidR="00CF59EF" w:rsidRDefault="000B5D37">
            <w:pPr>
              <w:spacing w:line="260" w:lineRule="atLeast"/>
              <w:rPr>
                <w:rFonts w:eastAsia="Calibri"/>
                <w:lang w:eastAsia="en-US"/>
              </w:rPr>
            </w:pPr>
            <w:r>
              <w:rPr>
                <w:rFonts w:eastAsia="Calibri"/>
                <w:b/>
                <w:lang w:eastAsia="en-GB"/>
              </w:rPr>
              <w:t xml:space="preserve">Dose </w:t>
            </w:r>
            <w:proofErr w:type="spellStart"/>
            <w:r>
              <w:rPr>
                <w:rFonts w:eastAsia="Calibri"/>
                <w:b/>
                <w:lang w:eastAsia="en-GB"/>
              </w:rPr>
              <w:t>levelsType</w:t>
            </w:r>
            <w:proofErr w:type="spellEnd"/>
            <w:r>
              <w:rPr>
                <w:rFonts w:eastAsia="Calibri"/>
                <w:b/>
                <w:lang w:eastAsia="en-GB"/>
              </w:rPr>
              <w:t xml:space="preserve"> of administration </w:t>
            </w:r>
            <w:r>
              <w:rPr>
                <w:rFonts w:eastAsia="Calibri"/>
                <w:i/>
                <w:color w:val="000000"/>
                <w:lang w:eastAsia="en-GB"/>
              </w:rPr>
              <w:t>(gavage, in diet, other)</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F402DA" w14:textId="77777777"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2E1E4973" w14:textId="77777777" w:rsidR="00CF59EF" w:rsidRDefault="000B5D37">
            <w:pPr>
              <w:spacing w:line="260" w:lineRule="atLeast"/>
              <w:rPr>
                <w:rFonts w:eastAsia="Calibri"/>
                <w:b/>
                <w:lang w:eastAsia="en-US"/>
              </w:rPr>
            </w:pPr>
            <w:r>
              <w:rPr>
                <w:rFonts w:eastAsia="Calibri"/>
                <w:b/>
                <w:lang w:eastAsia="en-US"/>
              </w:rPr>
              <w:t>Value</w:t>
            </w:r>
            <w:r>
              <w:rPr>
                <w:rFonts w:eastAsia="Calibri"/>
                <w:b/>
                <w:lang w:eastAsia="en-US"/>
              </w:rPr>
              <w:br/>
              <w:t>NOAEL</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F49C1D" w14:textId="77777777" w:rsidR="00CF59EF" w:rsidRDefault="000B5D37">
            <w:pPr>
              <w:spacing w:line="260" w:lineRule="atLeast"/>
              <w:rPr>
                <w:rFonts w:eastAsia="Calibri"/>
                <w:lang w:eastAsia="en-US"/>
              </w:rPr>
            </w:pPr>
            <w:r>
              <w:rPr>
                <w:rFonts w:eastAsia="Calibri"/>
                <w:b/>
                <w:lang w:eastAsia="en-GB"/>
              </w:rPr>
              <w:t xml:space="preserve">Remarks </w:t>
            </w:r>
            <w:r>
              <w:rPr>
                <w:rFonts w:eastAsia="Calibri"/>
                <w:i/>
                <w:lang w:eastAsia="en-GB"/>
              </w:rPr>
              <w:t>(e.g. major deviations)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7515EE7B" w14:textId="77777777" w:rsidR="00CF59EF" w:rsidRDefault="000B5D37">
            <w:pPr>
              <w:spacing w:line="260" w:lineRule="atLeast"/>
              <w:rPr>
                <w:rFonts w:eastAsia="Calibri"/>
                <w:b/>
                <w:lang w:eastAsia="en-US"/>
              </w:rPr>
            </w:pPr>
            <w:r>
              <w:rPr>
                <w:rFonts w:eastAsia="Calibri"/>
                <w:b/>
                <w:lang w:eastAsia="en-US"/>
              </w:rPr>
              <w:t xml:space="preserve">Reference </w:t>
            </w:r>
          </w:p>
          <w:p w14:paraId="656ADEBD" w14:textId="77777777" w:rsidR="00CF59EF" w:rsidRDefault="00CF59EF">
            <w:pPr>
              <w:spacing w:line="260" w:lineRule="atLeast"/>
              <w:rPr>
                <w:rFonts w:eastAsia="Calibri"/>
                <w:lang w:eastAsia="en-US"/>
              </w:rPr>
            </w:pPr>
          </w:p>
        </w:tc>
      </w:tr>
      <w:tr w:rsidR="00CF59EF" w14:paraId="5F6EF511" w14:textId="77777777"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8FCEF1" w14:textId="77777777" w:rsidR="00CF59EF" w:rsidRDefault="000B5D37">
            <w:pPr>
              <w:keepNext/>
              <w:spacing w:line="260" w:lineRule="atLeast"/>
              <w:rPr>
                <w:rFonts w:eastAsia="Calibri"/>
                <w:bCs/>
                <w:lang w:eastAsia="en-GB"/>
              </w:rPr>
            </w:pPr>
            <w:r>
              <w:rPr>
                <w:rFonts w:eastAsia="Calibri"/>
                <w:bCs/>
                <w:lang w:eastAsia="en-GB"/>
              </w:rPr>
              <w:t xml:space="preserve">Non-guideline (carcinogenicity), predates GLP, </w:t>
            </w:r>
            <w:r w:rsidR="00224E55">
              <w:rPr>
                <w:rFonts w:eastAsia="Calibri"/>
                <w:bCs/>
                <w:lang w:eastAsia="en-GB"/>
              </w:rPr>
              <w:t>2</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02C54B" w14:textId="77777777" w:rsidR="00CF59EF" w:rsidRDefault="000B5D37">
            <w:pPr>
              <w:spacing w:line="260" w:lineRule="atLeast"/>
              <w:rPr>
                <w:rFonts w:eastAsia="Calibri"/>
                <w:lang w:eastAsia="en-US"/>
              </w:rPr>
            </w:pPr>
            <w:r>
              <w:rPr>
                <w:rFonts w:eastAsia="Calibri"/>
                <w:lang w:eastAsia="en-US"/>
              </w:rPr>
              <w:t>Rats, Fischer 344, test group: 50 males and 52 females per dose, control group: 25 males and 43 females</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57D4F8" w14:textId="77777777" w:rsidR="00CF59EF" w:rsidRDefault="000B5D37" w:rsidP="0071714D">
            <w:pPr>
              <w:spacing w:line="260" w:lineRule="atLeast"/>
              <w:rPr>
                <w:rFonts w:eastAsia="Calibri"/>
                <w:lang w:eastAsia="en-GB"/>
              </w:rPr>
            </w:pPr>
            <w:r>
              <w:rPr>
                <w:rFonts w:eastAsia="Calibri"/>
                <w:lang w:eastAsia="en-GB"/>
              </w:rPr>
              <w:t xml:space="preserve">Sodium </w:t>
            </w:r>
            <w:r w:rsidR="00224E55" w:rsidRPr="00224E55">
              <w:rPr>
                <w:rFonts w:eastAsia="Calibri"/>
                <w:lang w:eastAsia="en-GB"/>
              </w:rPr>
              <w:t xml:space="preserve">benzoate </w:t>
            </w:r>
            <w:r>
              <w:rPr>
                <w:rFonts w:eastAsia="Calibri"/>
                <w:lang w:eastAsia="en-GB"/>
              </w:rPr>
              <w:t xml:space="preserve">at 1% and 2% in feed (corresponds to appr. 141 and 280 mg/kg </w:t>
            </w:r>
            <w:proofErr w:type="spellStart"/>
            <w:r>
              <w:rPr>
                <w:rFonts w:eastAsia="Calibri"/>
                <w:lang w:eastAsia="en-GB"/>
              </w:rPr>
              <w:t>bw</w:t>
            </w:r>
            <w:proofErr w:type="spellEnd"/>
            <w:r>
              <w:rPr>
                <w:rFonts w:eastAsia="Calibri"/>
                <w:lang w:eastAsia="en-GB"/>
              </w:rPr>
              <w:t xml:space="preserve">/day for males and 102 and 202 mg/kg </w:t>
            </w:r>
            <w:proofErr w:type="spellStart"/>
            <w:r>
              <w:rPr>
                <w:rFonts w:eastAsia="Calibri"/>
                <w:lang w:eastAsia="en-GB"/>
              </w:rPr>
              <w:t>bw</w:t>
            </w:r>
            <w:proofErr w:type="spellEnd"/>
            <w:r>
              <w:rPr>
                <w:rFonts w:eastAsia="Calibri"/>
                <w:lang w:eastAsia="en-GB"/>
              </w:rPr>
              <w:t>/day, respectively)</w:t>
            </w:r>
            <w:r w:rsidR="0071714D">
              <w:rPr>
                <w:rFonts w:eastAsia="Calibri"/>
                <w:lang w:eastAsia="en-GB"/>
              </w:rPr>
              <w:t xml:space="preserve">, </w:t>
            </w:r>
            <w:r w:rsidR="0071714D" w:rsidRPr="0071714D">
              <w:rPr>
                <w:rFonts w:eastAsia="Calibri"/>
                <w:lang w:eastAsia="en-GB"/>
              </w:rPr>
              <w:t>exposure duration 18 to 24 months</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91F859" w14:textId="77777777" w:rsidR="00CF59EF" w:rsidRDefault="000B5D37">
            <w:pPr>
              <w:spacing w:line="260" w:lineRule="atLeast"/>
              <w:rPr>
                <w:rFonts w:eastAsia="Calibri"/>
                <w:lang w:eastAsia="en-US"/>
              </w:rPr>
            </w:pPr>
            <w:r>
              <w:rPr>
                <w:rFonts w:eastAsia="Calibri"/>
                <w:lang w:eastAsia="en-US"/>
              </w:rPr>
              <w:t>No differences in mortality, growth or food intake between treated and untreated rats, no toxicity or carcinogenicity attributed to sodium benzoate exposure observed</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16F14866" w14:textId="77777777" w:rsidR="00CF59EF" w:rsidRDefault="000B5D37">
            <w:pPr>
              <w:spacing w:line="260" w:lineRule="atLeast"/>
              <w:rPr>
                <w:rFonts w:eastAsia="Calibri"/>
                <w:lang w:eastAsia="en-US"/>
              </w:rPr>
            </w:pPr>
            <w:r>
              <w:rPr>
                <w:rFonts w:eastAsia="Calibri"/>
                <w:lang w:eastAsia="en-US"/>
              </w:rPr>
              <w:t xml:space="preserve">280 and 202 mg/kg </w:t>
            </w:r>
            <w:proofErr w:type="spellStart"/>
            <w:r>
              <w:rPr>
                <w:rFonts w:eastAsia="Calibri"/>
                <w:lang w:eastAsia="en-US"/>
              </w:rPr>
              <w:t>bw</w:t>
            </w:r>
            <w:proofErr w:type="spellEnd"/>
            <w:r>
              <w:rPr>
                <w:rFonts w:eastAsia="Calibri"/>
                <w:lang w:eastAsia="en-US"/>
              </w:rPr>
              <w:t xml:space="preserve"> for males and females, respectively</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733145" w14:textId="77777777" w:rsidR="00CF59EF" w:rsidRDefault="000B5D37">
            <w:pPr>
              <w:spacing w:line="260" w:lineRule="atLeast"/>
              <w:rPr>
                <w:rFonts w:eastAsia="Calibri"/>
                <w:lang w:eastAsia="en-GB"/>
              </w:rPr>
            </w:pPr>
            <w:r>
              <w:rPr>
                <w:rFonts w:eastAsia="Calibri"/>
                <w:lang w:eastAsia="en-GB"/>
              </w:rPr>
              <w:t>Limited study summary. Minimal data provided on study design and results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14:paraId="7B35F117" w14:textId="77777777" w:rsidR="00CF59EF" w:rsidRDefault="000B5D37">
            <w:pPr>
              <w:spacing w:line="260" w:lineRule="atLeast"/>
              <w:rPr>
                <w:rFonts w:eastAsia="Calibri"/>
                <w:lang w:eastAsia="en-US"/>
              </w:rPr>
            </w:pPr>
            <w:r>
              <w:rPr>
                <w:rFonts w:eastAsia="Calibri"/>
                <w:lang w:eastAsia="en-US"/>
              </w:rPr>
              <w:t xml:space="preserve"> 2.2.6.1-8 (</w:t>
            </w:r>
            <w:proofErr w:type="spellStart"/>
            <w:r w:rsidR="005D5483" w:rsidRPr="002F4C58">
              <w:rPr>
                <w:rFonts w:eastAsia="Calibri"/>
                <w:highlight w:val="black"/>
              </w:rPr>
              <w:t>xxxxx</w:t>
            </w:r>
            <w:proofErr w:type="spellEnd"/>
            <w:r>
              <w:rPr>
                <w:rFonts w:eastAsia="Calibri"/>
                <w:lang w:eastAsia="en-US"/>
              </w:rPr>
              <w:t>)</w:t>
            </w:r>
          </w:p>
        </w:tc>
      </w:tr>
      <w:tr w:rsidR="00224E55" w14:paraId="1D00C339" w14:textId="77777777"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BC74CD" w14:textId="77777777" w:rsidR="00224E55" w:rsidRPr="00224E55" w:rsidRDefault="00224E55">
            <w:pPr>
              <w:spacing w:line="260" w:lineRule="atLeast"/>
              <w:rPr>
                <w:rFonts w:eastAsia="Calibri"/>
                <w:lang w:eastAsia="en-US"/>
              </w:rPr>
            </w:pPr>
            <w:r w:rsidRPr="00224E55">
              <w:rPr>
                <w:rFonts w:eastAsia="Calibri"/>
                <w:lang w:eastAsia="en-US"/>
              </w:rPr>
              <w:t>Carcinogenicity, non-</w:t>
            </w:r>
            <w:proofErr w:type="spellStart"/>
            <w:r w:rsidRPr="00224E55">
              <w:rPr>
                <w:rFonts w:eastAsia="Calibri"/>
                <w:lang w:eastAsia="en-US"/>
              </w:rPr>
              <w:t>guideline,non</w:t>
            </w:r>
            <w:proofErr w:type="spellEnd"/>
            <w:r w:rsidRPr="00224E55">
              <w:rPr>
                <w:rFonts w:eastAsia="Calibri"/>
                <w:lang w:eastAsia="en-US"/>
              </w:rPr>
              <w:t>-GLP</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D9BE54" w14:textId="77777777" w:rsidR="00224E55" w:rsidRPr="00CD3957" w:rsidRDefault="00224E55" w:rsidP="00224E55">
            <w:pPr>
              <w:rPr>
                <w:lang w:val="en-US"/>
              </w:rPr>
            </w:pPr>
            <w:r w:rsidRPr="00CD3957">
              <w:rPr>
                <w:lang w:val="en-US"/>
              </w:rPr>
              <w:t>Mouse,</w:t>
            </w:r>
          </w:p>
          <w:p w14:paraId="62677EE5" w14:textId="77777777" w:rsidR="00224E55" w:rsidRPr="00CD3957" w:rsidRDefault="00224E55" w:rsidP="00224E55">
            <w:pPr>
              <w:rPr>
                <w:lang w:val="en-US"/>
              </w:rPr>
            </w:pPr>
            <w:r w:rsidRPr="00CD3957">
              <w:rPr>
                <w:lang w:val="en-US"/>
              </w:rPr>
              <w:t>Swiss Albino,</w:t>
            </w:r>
          </w:p>
          <w:p w14:paraId="377C03FD" w14:textId="77777777" w:rsidR="00224E55" w:rsidRPr="00224E55" w:rsidRDefault="00224E55" w:rsidP="00224E55">
            <w:pPr>
              <w:spacing w:line="260" w:lineRule="atLeast"/>
              <w:rPr>
                <w:rFonts w:eastAsia="Calibri"/>
                <w:lang w:eastAsia="en-US"/>
              </w:rPr>
            </w:pPr>
            <w:r w:rsidRPr="00CD3957">
              <w:rPr>
                <w:lang w:val="en-US"/>
              </w:rPr>
              <w:t>50 M + 50 F (control: 99 M + 99 F)</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B1D0DC" w14:textId="77777777" w:rsidR="00224E55" w:rsidRPr="00224E55" w:rsidRDefault="00224E55" w:rsidP="00224E55">
            <w:pPr>
              <w:spacing w:line="260" w:lineRule="atLeast"/>
              <w:rPr>
                <w:rFonts w:eastAsia="Calibri"/>
                <w:lang w:eastAsia="en-US"/>
              </w:rPr>
            </w:pPr>
            <w:r w:rsidRPr="00224E55">
              <w:rPr>
                <w:rFonts w:eastAsia="Calibri"/>
                <w:lang w:eastAsia="en-US"/>
              </w:rPr>
              <w:t>Oral (drinking water),</w:t>
            </w:r>
          </w:p>
          <w:p w14:paraId="5FA65A7E" w14:textId="77777777" w:rsidR="00224E55" w:rsidRPr="00224E55" w:rsidRDefault="00224E55" w:rsidP="00224E55">
            <w:pPr>
              <w:spacing w:line="260" w:lineRule="atLeast"/>
              <w:rPr>
                <w:rFonts w:eastAsia="Calibri"/>
                <w:lang w:eastAsia="en-US"/>
              </w:rPr>
            </w:pPr>
            <w:r w:rsidRPr="00224E55">
              <w:rPr>
                <w:rFonts w:eastAsia="Calibri"/>
                <w:lang w:eastAsia="en-US"/>
              </w:rPr>
              <w:t xml:space="preserve">2.5 </w:t>
            </w:r>
            <w:proofErr w:type="spellStart"/>
            <w:r w:rsidRPr="00224E55">
              <w:rPr>
                <w:rFonts w:eastAsia="Calibri"/>
                <w:lang w:eastAsia="en-US"/>
              </w:rPr>
              <w:t>yr</w:t>
            </w:r>
            <w:proofErr w:type="spellEnd"/>
          </w:p>
          <w:p w14:paraId="0BEA740F" w14:textId="77777777" w:rsidR="00224E55" w:rsidRPr="00CD3957" w:rsidRDefault="00224E55" w:rsidP="00224E55">
            <w:pPr>
              <w:rPr>
                <w:lang w:val="en-US"/>
              </w:rPr>
            </w:pPr>
          </w:p>
          <w:p w14:paraId="3C732696" w14:textId="77777777" w:rsidR="00224E55" w:rsidRPr="00CD3957" w:rsidRDefault="00224E55" w:rsidP="00224E55">
            <w:pPr>
              <w:rPr>
                <w:lang w:val="nl-NL"/>
              </w:rPr>
            </w:pPr>
            <w:r w:rsidRPr="00CD3957">
              <w:rPr>
                <w:lang w:val="nl-NL"/>
              </w:rPr>
              <w:t xml:space="preserve">0-20,000 </w:t>
            </w:r>
            <w:proofErr w:type="spellStart"/>
            <w:r w:rsidRPr="00CD3957">
              <w:rPr>
                <w:lang w:val="nl-NL"/>
              </w:rPr>
              <w:t>ppm</w:t>
            </w:r>
            <w:proofErr w:type="spellEnd"/>
          </w:p>
          <w:p w14:paraId="289C18BE" w14:textId="77777777" w:rsidR="00224E55" w:rsidRPr="00CD3957" w:rsidRDefault="00224E55" w:rsidP="00224E55">
            <w:pPr>
              <w:rPr>
                <w:lang w:val="nl-NL"/>
              </w:rPr>
            </w:pPr>
          </w:p>
          <w:p w14:paraId="076DF91C" w14:textId="77777777" w:rsidR="00224E55" w:rsidRPr="00CD3957" w:rsidRDefault="00224E55" w:rsidP="00224E55">
            <w:pPr>
              <w:spacing w:line="260" w:lineRule="atLeast"/>
              <w:rPr>
                <w:rFonts w:eastAsia="Calibri"/>
                <w:lang w:val="nl-NL" w:eastAsia="en-US"/>
              </w:rPr>
            </w:pPr>
            <w:r w:rsidRPr="00CD3957">
              <w:rPr>
                <w:lang w:val="nl-NL"/>
              </w:rPr>
              <w:t xml:space="preserve">(~0-3000 mg/kg </w:t>
            </w:r>
            <w:proofErr w:type="spellStart"/>
            <w:r w:rsidRPr="00CD3957">
              <w:rPr>
                <w:lang w:val="nl-NL"/>
              </w:rPr>
              <w:t>bw</w:t>
            </w:r>
            <w:proofErr w:type="spellEnd"/>
            <w:r w:rsidRPr="00CD3957">
              <w:rPr>
                <w:lang w:val="nl-NL"/>
              </w:rPr>
              <w:t>/d)</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FA509C" w14:textId="77777777" w:rsidR="00224E55" w:rsidRPr="00224E55" w:rsidRDefault="00224E55" w:rsidP="00224E55">
            <w:pPr>
              <w:spacing w:line="260" w:lineRule="atLeast"/>
              <w:rPr>
                <w:rFonts w:eastAsia="Calibri"/>
                <w:lang w:eastAsia="en-US"/>
              </w:rPr>
            </w:pPr>
            <w:r w:rsidRPr="00CD3957">
              <w:rPr>
                <w:lang w:val="en-US"/>
              </w:rPr>
              <w:t>No effects on mortality and tumor incidence</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F3354F" w14:textId="77777777" w:rsidR="00224E55" w:rsidRPr="00CD3957" w:rsidRDefault="00224E55" w:rsidP="00224E55">
            <w:pPr>
              <w:rPr>
                <w:lang w:val="en-US"/>
              </w:rPr>
            </w:pPr>
            <w:r w:rsidRPr="00CD3957">
              <w:rPr>
                <w:lang w:val="en-US"/>
              </w:rPr>
              <w:t>20,000 ppm</w:t>
            </w:r>
          </w:p>
          <w:p w14:paraId="3650D9DD" w14:textId="77777777" w:rsidR="00224E55" w:rsidRPr="00224E55" w:rsidRDefault="00224E55">
            <w:pPr>
              <w:spacing w:line="260" w:lineRule="atLeast"/>
              <w:rPr>
                <w:rFonts w:eastAsia="Calibri"/>
                <w:lang w:eastAsia="en-US"/>
              </w:rPr>
            </w:pP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C2B5AC" w14:textId="77777777" w:rsidR="00224E55" w:rsidRPr="00224E55" w:rsidRDefault="00224E55">
            <w:pPr>
              <w:spacing w:line="260" w:lineRule="atLeast"/>
              <w:rPr>
                <w:rFonts w:eastAsia="Calibri"/>
                <w:lang w:eastAsia="en-US"/>
              </w:rPr>
            </w:pPr>
          </w:p>
        </w:tc>
        <w:tc>
          <w:tcPr>
            <w:tcW w:w="6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C05EC8" w14:textId="77777777" w:rsidR="00B74FE9" w:rsidRPr="00224E55" w:rsidRDefault="005D5483">
            <w:pPr>
              <w:spacing w:line="260" w:lineRule="atLeast"/>
              <w:rPr>
                <w:rFonts w:eastAsia="Calibri"/>
                <w:lang w:eastAsia="en-US"/>
              </w:rPr>
            </w:pPr>
            <w:proofErr w:type="spellStart"/>
            <w:r w:rsidRPr="002F4C58">
              <w:rPr>
                <w:rFonts w:eastAsia="Calibri"/>
                <w:highlight w:val="black"/>
              </w:rPr>
              <w:t>xxxxx</w:t>
            </w:r>
            <w:proofErr w:type="spellEnd"/>
            <w:r>
              <w:rPr>
                <w:rFonts w:eastAsia="Calibri"/>
                <w:lang w:eastAsia="en-US"/>
              </w:rPr>
              <w:t xml:space="preserve"> </w:t>
            </w:r>
            <w:r w:rsidR="00B74FE9">
              <w:rPr>
                <w:rFonts w:eastAsia="Calibri"/>
                <w:lang w:eastAsia="en-US"/>
              </w:rPr>
              <w:t>2.2.6.1-11</w:t>
            </w:r>
          </w:p>
        </w:tc>
      </w:tr>
      <w:tr w:rsidR="00CF59EF" w14:paraId="20D55D5D" w14:textId="77777777"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4E2DC2" w14:textId="77777777" w:rsidR="00CF59EF" w:rsidRDefault="000B5D37">
            <w:pPr>
              <w:spacing w:line="260" w:lineRule="atLeast"/>
              <w:rPr>
                <w:rFonts w:eastAsia="Calibri"/>
                <w:lang w:eastAsia="en-US"/>
              </w:rPr>
            </w:pPr>
            <w:r>
              <w:rPr>
                <w:rFonts w:eastAsia="Calibri"/>
                <w:lang w:eastAsia="en-US"/>
              </w:rPr>
              <w:t>Non-guideline (4 generation study), predates GLP, study performed with substance analogue, reliability 2</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3E5353" w14:textId="77777777" w:rsidR="00CF59EF" w:rsidRDefault="000B5D37">
            <w:pPr>
              <w:spacing w:line="260" w:lineRule="atLeast"/>
              <w:rPr>
                <w:rFonts w:eastAsia="Calibri"/>
                <w:lang w:eastAsia="en-US"/>
              </w:rPr>
            </w:pPr>
            <w:r>
              <w:rPr>
                <w:rFonts w:eastAsia="Calibri"/>
                <w:lang w:eastAsia="en-US"/>
              </w:rPr>
              <w:t>Rat, unspecified strain, 20 rats/ sex/ dose</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0F8DEA" w14:textId="77777777" w:rsidR="00CF59EF" w:rsidRDefault="000B5D37">
            <w:pPr>
              <w:spacing w:line="260" w:lineRule="atLeast"/>
              <w:rPr>
                <w:rFonts w:eastAsia="Calibri"/>
                <w:lang w:eastAsia="en-US"/>
              </w:rPr>
            </w:pPr>
            <w:r>
              <w:rPr>
                <w:rFonts w:eastAsia="Calibri"/>
                <w:lang w:eastAsia="en-US"/>
              </w:rPr>
              <w:t>benzoic acid, as 0.5% and 1% in feed</w:t>
            </w:r>
            <w:r w:rsidR="00224E55">
              <w:rPr>
                <w:rFonts w:eastAsia="Calibri"/>
                <w:lang w:eastAsia="en-US"/>
              </w:rPr>
              <w:t xml:space="preserve"> </w:t>
            </w:r>
            <w:r>
              <w:rPr>
                <w:rFonts w:eastAsia="Calibri"/>
                <w:lang w:eastAsia="en-US"/>
              </w:rPr>
              <w:t xml:space="preserve">(corresponds to appr. 250 and 500 mg/kg </w:t>
            </w:r>
            <w:proofErr w:type="spellStart"/>
            <w:r>
              <w:rPr>
                <w:rFonts w:eastAsia="Calibri"/>
                <w:lang w:eastAsia="en-US"/>
              </w:rPr>
              <w:t>bw</w:t>
            </w:r>
            <w:proofErr w:type="spellEnd"/>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C4201B" w14:textId="77777777" w:rsidR="00CF59EF" w:rsidRDefault="000B5D37">
            <w:pPr>
              <w:spacing w:line="260" w:lineRule="atLeast"/>
              <w:rPr>
                <w:rFonts w:eastAsia="Calibri"/>
                <w:lang w:eastAsia="en-US"/>
              </w:rPr>
            </w:pPr>
            <w:r>
              <w:rPr>
                <w:rFonts w:eastAsia="Calibri"/>
                <w:lang w:eastAsia="en-US"/>
              </w:rPr>
              <w:t>There were no adverse effec</w:t>
            </w:r>
            <w:r w:rsidR="00224E55">
              <w:rPr>
                <w:rFonts w:eastAsia="Calibri"/>
                <w:lang w:eastAsia="en-US"/>
              </w:rPr>
              <w:t>ts</w:t>
            </w:r>
            <w:r>
              <w:rPr>
                <w:rFonts w:eastAsia="Calibri"/>
                <w:lang w:eastAsia="en-US"/>
              </w:rPr>
              <w:t xml:space="preserve"> seen up to and including 500 mg/kg </w:t>
            </w:r>
            <w:proofErr w:type="spellStart"/>
            <w:r>
              <w:rPr>
                <w:rFonts w:eastAsia="Calibri"/>
                <w:lang w:eastAsia="en-US"/>
              </w:rPr>
              <w:t>bw</w:t>
            </w:r>
            <w:proofErr w:type="spellEnd"/>
            <w:r>
              <w:rPr>
                <w:rFonts w:eastAsia="Calibri"/>
                <w:lang w:eastAsia="en-US"/>
              </w:rPr>
              <w:t>/day</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1053F7"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 xml:space="preserve"> (males and females)</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7238B9" w14:textId="77777777" w:rsidR="00CF59EF" w:rsidRDefault="000B5D37">
            <w:pPr>
              <w:spacing w:line="260" w:lineRule="atLeast"/>
              <w:rPr>
                <w:rFonts w:eastAsia="Calibri"/>
                <w:lang w:eastAsia="en-US"/>
              </w:rPr>
            </w:pPr>
            <w:r>
              <w:rPr>
                <w:rFonts w:eastAsia="Calibri"/>
                <w:lang w:eastAsia="en-US"/>
              </w:rPr>
              <w:t>Limited study summary. Minimal data provided on study design and results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F6D851" w14:textId="77777777" w:rsidR="00CF59EF" w:rsidRDefault="000B5D37">
            <w:pPr>
              <w:spacing w:line="260" w:lineRule="atLeast"/>
              <w:rPr>
                <w:rFonts w:eastAsia="Calibri"/>
                <w:lang w:eastAsia="en-US"/>
              </w:rPr>
            </w:pPr>
            <w:r>
              <w:rPr>
                <w:rFonts w:eastAsia="Calibri"/>
                <w:lang w:eastAsia="en-US"/>
              </w:rPr>
              <w:t>Ref no. 2.2.6.1-9 (</w:t>
            </w:r>
            <w:proofErr w:type="spellStart"/>
            <w:r w:rsidR="005D5483" w:rsidRPr="002F4C58">
              <w:rPr>
                <w:rFonts w:eastAsia="Calibri"/>
                <w:highlight w:val="black"/>
              </w:rPr>
              <w:t>xxxxx</w:t>
            </w:r>
            <w:proofErr w:type="spellEnd"/>
            <w:r>
              <w:rPr>
                <w:rFonts w:eastAsia="Calibri"/>
                <w:lang w:eastAsia="en-US"/>
              </w:rPr>
              <w:t>), 2.2.6.1-10 (</w:t>
            </w:r>
            <w:proofErr w:type="spellStart"/>
            <w:r w:rsidR="005D5483" w:rsidRPr="002F4C58">
              <w:rPr>
                <w:rFonts w:eastAsia="Calibri"/>
                <w:highlight w:val="black"/>
              </w:rPr>
              <w:t>xxxxx</w:t>
            </w:r>
            <w:proofErr w:type="spellEnd"/>
            <w:r>
              <w:rPr>
                <w:rFonts w:eastAsia="Calibri"/>
                <w:lang w:eastAsia="en-US"/>
              </w:rPr>
              <w:t>)</w:t>
            </w:r>
          </w:p>
        </w:tc>
      </w:tr>
    </w:tbl>
    <w:p w14:paraId="346B8CA2" w14:textId="77777777" w:rsidR="00CF59EF" w:rsidRDefault="00CF59EF">
      <w:pPr>
        <w:spacing w:line="260" w:lineRule="atLeast"/>
        <w:rPr>
          <w:rFonts w:ascii="Times New Roman" w:eastAsia="Calibri" w:hAnsi="Times New Roman"/>
          <w:i/>
          <w:iCs/>
          <w:lang w:eastAsia="en-US"/>
        </w:rPr>
      </w:pPr>
    </w:p>
    <w:p w14:paraId="1CFEE025" w14:textId="77777777" w:rsidR="006738CA" w:rsidRDefault="006738CA">
      <w:pPr>
        <w:spacing w:line="260" w:lineRule="atLeast"/>
        <w:rPr>
          <w:rFonts w:eastAsia="Calibri"/>
          <w:lang w:eastAsia="en-US"/>
        </w:rPr>
      </w:pPr>
    </w:p>
    <w:p w14:paraId="78E9B53E" w14:textId="77777777" w:rsidR="006738CA" w:rsidRDefault="006738CA">
      <w:pPr>
        <w:spacing w:line="260" w:lineRule="atLeast"/>
        <w:rPr>
          <w:rFonts w:eastAsia="Calibri"/>
          <w:lang w:eastAsia="en-US"/>
        </w:rPr>
      </w:pPr>
    </w:p>
    <w:p w14:paraId="38DB0881" w14:textId="77777777" w:rsidR="00CF59EF" w:rsidRDefault="000B5D37">
      <w:pPr>
        <w:spacing w:line="260" w:lineRule="atLeast"/>
        <w:rPr>
          <w:rFonts w:eastAsia="Calibri"/>
          <w:lang w:eastAsia="en-US"/>
        </w:rPr>
      </w:pPr>
      <w:r>
        <w:rPr>
          <w:rFonts w:eastAsia="Calibri"/>
          <w:lang w:eastAsia="en-US"/>
        </w:rPr>
        <w:t>Human data:</w:t>
      </w:r>
    </w:p>
    <w:p w14:paraId="45E215CE" w14:textId="77777777" w:rsidR="00CF59EF" w:rsidRDefault="00CF59EF">
      <w:pPr>
        <w:spacing w:line="260" w:lineRule="atLeast"/>
        <w:rPr>
          <w:rFonts w:eastAsia="Calibri"/>
          <w:lang w:eastAsia="en-US"/>
        </w:rPr>
      </w:pPr>
    </w:p>
    <w:p w14:paraId="0D6B4A9E" w14:textId="77777777" w:rsidR="00CF59EF" w:rsidRDefault="000B5D37">
      <w:pPr>
        <w:spacing w:line="260" w:lineRule="atLeast"/>
        <w:rPr>
          <w:rFonts w:eastAsia="Calibri"/>
          <w:lang w:eastAsia="en-US"/>
        </w:rPr>
      </w:pPr>
      <w:r>
        <w:rPr>
          <w:rFonts w:eastAsia="Calibri"/>
          <w:lang w:eastAsia="en-US"/>
        </w:rPr>
        <w:lastRenderedPageBreak/>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w:t>
      </w:r>
      <w:r w:rsidR="006738CA">
        <w:rPr>
          <w:rFonts w:eastAsia="Calibri"/>
          <w:lang w:eastAsia="en-US"/>
        </w:rPr>
        <w:t>rent maximum of 0.1% in food.</w:t>
      </w:r>
    </w:p>
    <w:p w14:paraId="681A4D83" w14:textId="77777777"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84"/>
        <w:gridCol w:w="7372"/>
      </w:tblGrid>
      <w:tr w:rsidR="00CF59EF" w14:paraId="66012B39" w14:textId="77777777">
        <w:trPr>
          <w:trHeight w:val="319"/>
        </w:trPr>
        <w:tc>
          <w:tcPr>
            <w:tcW w:w="935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14:paraId="541C8AAF" w14:textId="77777777" w:rsidR="00CF59EF" w:rsidRDefault="000B5D37">
            <w:pPr>
              <w:spacing w:line="260" w:lineRule="atLeast"/>
              <w:rPr>
                <w:rFonts w:eastAsia="Calibri"/>
                <w:b/>
                <w:bCs/>
                <w:lang w:eastAsia="en-US"/>
              </w:rPr>
            </w:pPr>
            <w:r>
              <w:rPr>
                <w:rFonts w:eastAsia="Calibri"/>
                <w:b/>
                <w:bCs/>
                <w:lang w:eastAsia="en-US"/>
              </w:rPr>
              <w:t>Value used in the Risk Assessment – Repeated dose toxicity</w:t>
            </w:r>
          </w:p>
        </w:tc>
      </w:tr>
      <w:tr w:rsidR="00CF59EF" w14:paraId="03C17B19"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5E406C4" w14:textId="77777777" w:rsidR="00CF59EF" w:rsidRDefault="000B5D37">
            <w:pPr>
              <w:spacing w:line="260" w:lineRule="atLeast"/>
              <w:rPr>
                <w:rFonts w:eastAsia="Calibri"/>
                <w:lang w:eastAsia="en-US"/>
              </w:rPr>
            </w:pPr>
            <w:r>
              <w:rPr>
                <w:rFonts w:eastAsia="Calibri"/>
                <w:lang w:eastAsia="en-US"/>
              </w:rPr>
              <w:t>Value (NOAEL)</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27E47DF9"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p>
        </w:tc>
      </w:tr>
      <w:tr w:rsidR="00CF59EF" w14:paraId="72634A97"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309C260E" w14:textId="77777777"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716CB4DC" w14:textId="77777777" w:rsidR="00CF59EF" w:rsidRDefault="000B5D37">
            <w:pPr>
              <w:spacing w:line="260" w:lineRule="atLeast"/>
              <w:rPr>
                <w:rFonts w:eastAsia="Calibri"/>
                <w:lang w:eastAsia="en-US"/>
              </w:rPr>
            </w:pPr>
            <w:r>
              <w:rPr>
                <w:rFonts w:eastAsia="Calibri"/>
                <w:lang w:eastAsia="en-US"/>
              </w:rPr>
              <w:t>Based on the results of a multi-generation toxicity study with rats, performed with a substance analogue (benzoic acid); the study was assessed by the Joint FAO/WHO Expert Committee on Food Additives (JECFA) in 1996, the EU Scientific Committee on Food (SCF) in 2002 and EFSA in 2016 and used to set the ADI for sodium benzoate.</w:t>
            </w:r>
          </w:p>
        </w:tc>
      </w:tr>
      <w:tr w:rsidR="00CF59EF" w14:paraId="0AFF028B" w14:textId="77777777">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663167A2" w14:textId="77777777"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10619788" w14:textId="77777777" w:rsidR="00CF59EF" w:rsidRDefault="000B5D37">
            <w:pPr>
              <w:spacing w:line="260" w:lineRule="atLeast"/>
              <w:rPr>
                <w:rFonts w:eastAsia="Calibri"/>
                <w:lang w:eastAsia="en-US"/>
              </w:rPr>
            </w:pPr>
            <w:r>
              <w:rPr>
                <w:rFonts w:eastAsia="Calibri"/>
                <w:lang w:eastAsia="en-US"/>
              </w:rPr>
              <w:t xml:space="preserve">Not classified </w:t>
            </w:r>
          </w:p>
        </w:tc>
      </w:tr>
    </w:tbl>
    <w:p w14:paraId="74114292" w14:textId="77777777" w:rsidR="00CF59EF" w:rsidRDefault="00CF59EF" w:rsidP="007A56E1">
      <w:pPr>
        <w:spacing w:line="260" w:lineRule="atLeast"/>
        <w:ind w:hanging="142"/>
        <w:jc w:val="both"/>
        <w:rPr>
          <w:rFonts w:eastAsia="Calibri"/>
          <w:b/>
          <w:iCs/>
          <w:lang w:eastAsia="en-US"/>
        </w:rPr>
      </w:pPr>
    </w:p>
    <w:p w14:paraId="5533BE18" w14:textId="77777777" w:rsidR="007A56E1" w:rsidRDefault="007A56E1" w:rsidP="007A56E1">
      <w:pPr>
        <w:spacing w:line="260" w:lineRule="atLeast"/>
        <w:ind w:hanging="142"/>
        <w:jc w:val="both"/>
        <w:rPr>
          <w:rFonts w:eastAsia="Calibri"/>
          <w:b/>
          <w:iCs/>
          <w:lang w:eastAsia="en-US"/>
        </w:rPr>
      </w:pPr>
      <w:r w:rsidRPr="007A56E1">
        <w:rPr>
          <w:rFonts w:eastAsia="Calibri"/>
          <w:b/>
          <w:iCs/>
          <w:noProof/>
          <w:lang w:val="nl-NL" w:eastAsia="nl-NL"/>
        </w:rPr>
        <mc:AlternateContent>
          <mc:Choice Requires="wps">
            <w:drawing>
              <wp:inline distT="0" distB="0" distL="0" distR="0" wp14:anchorId="53FA402A" wp14:editId="427C6519">
                <wp:extent cx="5924550" cy="704024"/>
                <wp:effectExtent l="0" t="0" r="19050" b="1333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024"/>
                        </a:xfrm>
                        <a:prstGeom prst="rect">
                          <a:avLst/>
                        </a:prstGeom>
                        <a:solidFill>
                          <a:schemeClr val="bg1">
                            <a:lumMod val="85000"/>
                          </a:schemeClr>
                        </a:solidFill>
                        <a:ln w="9525">
                          <a:solidFill>
                            <a:srgbClr val="000000"/>
                          </a:solidFill>
                          <a:miter lim="800000"/>
                          <a:headEnd/>
                          <a:tailEnd/>
                        </a:ln>
                      </wps:spPr>
                      <wps:txbx>
                        <w:txbxContent>
                          <w:p w14:paraId="563D181D" w14:textId="77777777" w:rsidR="00980D14" w:rsidRDefault="00980D14" w:rsidP="007A56E1">
                            <w:pPr>
                              <w:rPr>
                                <w:lang w:val="en-US"/>
                              </w:rPr>
                            </w:pPr>
                            <w:r>
                              <w:rPr>
                                <w:lang w:val="en-US"/>
                              </w:rPr>
                              <w:t>NL CA remark:  For a structurally similar substance benzoic acid H372 STOT RE1 (lung) is assigned. A</w:t>
                            </w:r>
                            <w:r w:rsidRPr="007A56E1">
                              <w:rPr>
                                <w:lang w:val="en-US"/>
                              </w:rPr>
                              <w:t>ccording to the RAC opinion pulmonary toxicity of benzoic acid is attributed to the forms or physical states of the substance (powder form solid). In the key study to draw this conclusion rats were exposed to benzoic acid fine dust with mean aerodynamic diameter of 4.7 um. Although it is described to be powder, the biocidal product in the  current PAR contains part</w:t>
                            </w:r>
                            <w:r>
                              <w:rPr>
                                <w:lang w:val="en-US"/>
                              </w:rPr>
                              <w:t>icles rather large for a powder:</w:t>
                            </w:r>
                          </w:p>
                          <w:p w14:paraId="00D2E5CF" w14:textId="77777777" w:rsidR="00980D14" w:rsidRPr="007A56E1" w:rsidRDefault="00980D14" w:rsidP="007A56E1">
                            <w:pPr>
                              <w:rPr>
                                <w:lang w:val="en-US"/>
                              </w:rPr>
                            </w:pPr>
                          </w:p>
                          <w:p w14:paraId="35C6DE70" w14:textId="77777777" w:rsidR="00980D14" w:rsidRDefault="00980D14" w:rsidP="007A56E1">
                            <w:pPr>
                              <w:rPr>
                                <w:lang w:val="en-US"/>
                              </w:rPr>
                            </w:pPr>
                            <w:r w:rsidRPr="007A56E1">
                              <w:rPr>
                                <w:lang w:val="en-US"/>
                              </w:rPr>
                              <w:t>Particle size distribution: 100% &lt; 2.36 mm, 85% &lt; 0.85 mm, 43% &lt; 0.43 mm, 8% &lt; 0.21 mm, 5% &lt; 0.18 mm,1.4% &lt; 0.125 mm</w:t>
                            </w:r>
                          </w:p>
                          <w:p w14:paraId="295036EC" w14:textId="77777777" w:rsidR="00980D14" w:rsidRPr="007A56E1" w:rsidRDefault="00980D14" w:rsidP="007A56E1">
                            <w:pPr>
                              <w:rPr>
                                <w:lang w:val="en-US"/>
                              </w:rPr>
                            </w:pPr>
                          </w:p>
                          <w:p w14:paraId="0557BE93" w14:textId="77777777" w:rsidR="00980D14" w:rsidRPr="007A56E1" w:rsidRDefault="00980D14" w:rsidP="007A56E1">
                            <w:pPr>
                              <w:rPr>
                                <w:lang w:val="en-US"/>
                                <w14:textOutline w14:w="9525" w14:cap="rnd" w14:cmpd="sng" w14:algn="ctr">
                                  <w14:solidFill>
                                    <w14:schemeClr w14:val="bg1">
                                      <w14:lumMod w14:val="85000"/>
                                    </w14:schemeClr>
                                  </w14:solidFill>
                                  <w14:prstDash w14:val="solid"/>
                                  <w14:bevel/>
                                </w14:textOutline>
                              </w:rPr>
                            </w:pPr>
                            <w:r w:rsidRPr="007A56E1">
                              <w:rPr>
                                <w:lang w:val="en-US"/>
                              </w:rPr>
                              <w:t>Due to the relatively large particle sizes sodium benzoate used in this biocidal product will not reach thoracic region. Therefore H372</w:t>
                            </w:r>
                            <w:r w:rsidRPr="0013707B">
                              <w:rPr>
                                <w:lang w:val="en-US"/>
                              </w:rPr>
                              <w:t xml:space="preserve"> </w:t>
                            </w:r>
                            <w:r>
                              <w:rPr>
                                <w:lang w:val="en-US"/>
                              </w:rPr>
                              <w:t xml:space="preserve">STOT RE1 (lung) </w:t>
                            </w:r>
                            <w:r w:rsidRPr="007A56E1">
                              <w:rPr>
                                <w:lang w:val="en-US"/>
                              </w:rPr>
                              <w:t>is not warranted for this biocidal product.</w:t>
                            </w:r>
                          </w:p>
                        </w:txbxContent>
                      </wps:txbx>
                      <wps:bodyPr rot="0" vert="horz" wrap="square" lIns="91440" tIns="45720" rIns="91440" bIns="45720" anchor="t" anchorCtr="0">
                        <a:spAutoFit/>
                      </wps:bodyPr>
                    </wps:wsp>
                  </a:graphicData>
                </a:graphic>
              </wp:inline>
            </w:drawing>
          </mc:Choice>
          <mc:Fallback>
            <w:pict>
              <v:shape w14:anchorId="53FA402A" id="_x0000_s1028" type="#_x0000_t202" style="width:466.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" fillcolor="#d8d8d8 [2732]">
                <v:textbox style="mso-fit-shape-to-text:t">
                  <w:txbxContent>
                    <w:p w14:paraId="563D181D" w14:textId="77777777" w:rsidR="00980D14" w:rsidRDefault="00980D14" w:rsidP="007A56E1">
                      <w:pPr>
                        <w:rPr>
                          <w:lang w:val="en-US"/>
                        </w:rPr>
                      </w:pPr>
                      <w:r>
                        <w:rPr>
                          <w:lang w:val="en-US"/>
                        </w:rPr>
                        <w:t>NL CA remark:  For a structurally similar substance benzoic acid H372 STOT RE1 (lung) is assigned. A</w:t>
                      </w:r>
                      <w:r w:rsidRPr="007A56E1">
                        <w:rPr>
                          <w:lang w:val="en-US"/>
                        </w:rPr>
                        <w:t>ccording to the RAC opinion pulmonary toxicity of benzoic acid is attributed to the forms or physical states of the substance (powder form solid). In the key study to draw this conclusion rats were exposed to benzoic acid fine dust with mean aerodynamic diameter of 4.7 um. Although it is described to be powder, the biocidal product in the  current PAR contains part</w:t>
                      </w:r>
                      <w:r>
                        <w:rPr>
                          <w:lang w:val="en-US"/>
                        </w:rPr>
                        <w:t>icles rather large for a powder:</w:t>
                      </w:r>
                    </w:p>
                    <w:p w14:paraId="00D2E5CF" w14:textId="77777777" w:rsidR="00980D14" w:rsidRPr="007A56E1" w:rsidRDefault="00980D14" w:rsidP="007A56E1">
                      <w:pPr>
                        <w:rPr>
                          <w:lang w:val="en-US"/>
                        </w:rPr>
                      </w:pPr>
                    </w:p>
                    <w:p w14:paraId="35C6DE70" w14:textId="77777777" w:rsidR="00980D14" w:rsidRDefault="00980D14" w:rsidP="007A56E1">
                      <w:pPr>
                        <w:rPr>
                          <w:lang w:val="en-US"/>
                        </w:rPr>
                      </w:pPr>
                      <w:r w:rsidRPr="007A56E1">
                        <w:rPr>
                          <w:lang w:val="en-US"/>
                        </w:rPr>
                        <w:t>Particle size distribution: 100% &lt; 2.36 mm, 85% &lt; 0.85 mm, 43% &lt; 0.43 mm, 8% &lt; 0.21 mm, 5% &lt; 0.18 mm,1.4% &lt; 0.125 mm</w:t>
                      </w:r>
                    </w:p>
                    <w:p w14:paraId="295036EC" w14:textId="77777777" w:rsidR="00980D14" w:rsidRPr="007A56E1" w:rsidRDefault="00980D14" w:rsidP="007A56E1">
                      <w:pPr>
                        <w:rPr>
                          <w:lang w:val="en-US"/>
                        </w:rPr>
                      </w:pPr>
                    </w:p>
                    <w:p w14:paraId="0557BE93" w14:textId="77777777" w:rsidR="00980D14" w:rsidRPr="007A56E1" w:rsidRDefault="00980D14" w:rsidP="007A56E1">
                      <w:pPr>
                        <w:rPr>
                          <w:lang w:val="en-US"/>
                          <w14:textOutline w14:w="9525" w14:cap="rnd" w14:cmpd="sng" w14:algn="ctr">
                            <w14:solidFill>
                              <w14:schemeClr w14:val="bg1">
                                <w14:lumMod w14:val="85000"/>
                              </w14:schemeClr>
                            </w14:solidFill>
                            <w14:prstDash w14:val="solid"/>
                            <w14:bevel/>
                          </w14:textOutline>
                        </w:rPr>
                      </w:pPr>
                      <w:r w:rsidRPr="007A56E1">
                        <w:rPr>
                          <w:lang w:val="en-US"/>
                        </w:rPr>
                        <w:t>Due to the relatively large particle sizes sodium benzoate used in this biocidal product will not reach thoracic region. Therefore H372</w:t>
                      </w:r>
                      <w:r w:rsidRPr="0013707B">
                        <w:rPr>
                          <w:lang w:val="en-US"/>
                        </w:rPr>
                        <w:t xml:space="preserve"> </w:t>
                      </w:r>
                      <w:r>
                        <w:rPr>
                          <w:lang w:val="en-US"/>
                        </w:rPr>
                        <w:t xml:space="preserve">STOT RE1 (lung) </w:t>
                      </w:r>
                      <w:r w:rsidRPr="007A56E1">
                        <w:rPr>
                          <w:lang w:val="en-US"/>
                        </w:rPr>
                        <w:t>is not warranted for this biocidal product.</w:t>
                      </w:r>
                    </w:p>
                  </w:txbxContent>
                </v:textbox>
                <w10:anchorlock/>
              </v:shape>
            </w:pict>
          </mc:Fallback>
        </mc:AlternateContent>
      </w:r>
    </w:p>
    <w:p w14:paraId="3D107DA7" w14:textId="77777777" w:rsidR="00CF59EF" w:rsidRDefault="00CF59EF">
      <w:pPr>
        <w:spacing w:line="260" w:lineRule="atLeast"/>
        <w:jc w:val="both"/>
        <w:rPr>
          <w:rFonts w:eastAsia="Calibri"/>
          <w:b/>
          <w:iCs/>
          <w:lang w:eastAsia="en-US"/>
        </w:rPr>
      </w:pPr>
    </w:p>
    <w:p w14:paraId="3CB14ED4" w14:textId="77777777" w:rsidR="007A56E1" w:rsidRDefault="00C367D4">
      <w:pPr>
        <w:spacing w:line="260" w:lineRule="atLeast"/>
        <w:jc w:val="both"/>
        <w:rPr>
          <w:rFonts w:eastAsia="Calibri"/>
          <w:b/>
          <w:iCs/>
          <w:lang w:eastAsia="en-US"/>
        </w:rPr>
      </w:pPr>
      <w:r w:rsidRPr="00187B92">
        <w:rPr>
          <w:rFonts w:eastAsia="Calibri"/>
          <w:noProof/>
          <w:lang w:val="nl-NL" w:eastAsia="nl-NL"/>
        </w:rPr>
        <w:lastRenderedPageBreak/>
        <mc:AlternateContent>
          <mc:Choice Requires="wps">
            <w:drawing>
              <wp:inline distT="0" distB="0" distL="0" distR="0" wp14:anchorId="393F41C1" wp14:editId="4ACA6281">
                <wp:extent cx="5850255" cy="2878455"/>
                <wp:effectExtent l="0" t="0" r="17145" b="1714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878455"/>
                        </a:xfrm>
                        <a:prstGeom prst="rect">
                          <a:avLst/>
                        </a:prstGeom>
                        <a:solidFill>
                          <a:schemeClr val="bg1">
                            <a:lumMod val="85000"/>
                          </a:schemeClr>
                        </a:solidFill>
                        <a:ln w="9525">
                          <a:solidFill>
                            <a:srgbClr val="000000"/>
                          </a:solidFill>
                          <a:miter lim="800000"/>
                          <a:headEnd/>
                          <a:tailEnd/>
                        </a:ln>
                      </wps:spPr>
                      <wps:txbx>
                        <w:txbxContent>
                          <w:p w14:paraId="59B4C7DB" w14:textId="77777777" w:rsidR="00980D14" w:rsidRDefault="00980D14" w:rsidP="00C367D4">
                            <w:r w:rsidRPr="0013707B">
                              <w:t>NL CA remark: It was</w:t>
                            </w:r>
                            <w:r>
                              <w:t xml:space="preserve"> pointed out by a refMS that there is a literature showing a possible positive correlation between worker exposure to a structurally similar compound, BCMBA and development of occupational asthma, rhinitis and urticarial, and it would be useful to include this information.</w:t>
                            </w:r>
                          </w:p>
                          <w:p w14:paraId="0764113A" w14:textId="77777777" w:rsidR="00980D14" w:rsidRDefault="00980D14" w:rsidP="00C367D4"/>
                          <w:p w14:paraId="24F58A6E" w14:textId="77777777" w:rsidR="00980D14" w:rsidRDefault="00980D14" w:rsidP="00C367D4">
                            <w:r>
                              <w:t>Reference of the study: 3-(Bromomethyl)-2-chloro-4-(methylsulfonyl)- benzoic acid: a new cause of sensitiser induced occupational asthma, rhinitis and urticarial (2017).</w:t>
                            </w:r>
                          </w:p>
                          <w:p w14:paraId="7ACC65D0" w14:textId="77777777" w:rsidR="00980D14" w:rsidRPr="00394E43" w:rsidRDefault="00980D14" w:rsidP="00C367D4">
                            <w:pPr>
                              <w:rPr>
                                <w:lang w:val="nl-NL"/>
                              </w:rPr>
                            </w:pPr>
                            <w:r w:rsidRPr="00394E43">
                              <w:rPr>
                                <w:lang w:val="nl-NL"/>
                              </w:rPr>
                              <w:t>Suojalehto H1, Karvala K1, Ahonen S1,2, Ylinen K3, Airaksinen L1, Suuronen K1, Suomela S1, Lindström I1.</w:t>
                            </w:r>
                          </w:p>
                          <w:p w14:paraId="0E6AE430" w14:textId="77777777" w:rsidR="00980D14" w:rsidRPr="00394E43" w:rsidRDefault="00980D14" w:rsidP="00C367D4">
                            <w:pPr>
                              <w:rPr>
                                <w:lang w:val="nl-NL"/>
                              </w:rPr>
                            </w:pPr>
                          </w:p>
                          <w:p w14:paraId="35C0B039" w14:textId="77777777" w:rsidR="00980D14" w:rsidRDefault="00980D14" w:rsidP="00C367D4">
                            <w:r>
                              <w:t xml:space="preserve">NL CA notes that the intolerance reactions to benzoic acid and its salts have been observed in sensitive population. </w:t>
                            </w:r>
                          </w:p>
                          <w:p w14:paraId="3C3549AF" w14:textId="77777777" w:rsidR="00980D14" w:rsidRDefault="00980D14" w:rsidP="00C367D4"/>
                          <w:p w14:paraId="63588348" w14:textId="77777777" w:rsidR="00980D14" w:rsidRDefault="00980D14" w:rsidP="00C367D4">
                            <w:r>
                              <w:t xml:space="preserve">e.g. WHO CICADs (2000) </w:t>
                            </w:r>
                          </w:p>
                          <w:p w14:paraId="55B150A6" w14:textId="77777777" w:rsidR="00980D14" w:rsidRDefault="00980D14" w:rsidP="00C367D4">
                            <w:r>
                              <w:t>Cases of urticaria, asthma, rhinitis, or anaphylactic shock have been reported following oral, dermal, or inhalation exposure to benzoic acid and sodium benzoate. The symptoms appear shortly after exposure and disappear within a few hours, even at low doses</w:t>
                            </w:r>
                          </w:p>
                          <w:p w14:paraId="0E6FD4F0" w14:textId="77777777" w:rsidR="00980D14" w:rsidRDefault="00980D14" w:rsidP="00C367D4"/>
                          <w:p w14:paraId="7348AC7D" w14:textId="77777777" w:rsidR="00980D14" w:rsidRDefault="00980D14" w:rsidP="00C367D4">
                            <w:r>
                              <w:t>e.g. Scientific opinion EFSA ANS Panel (2016)</w:t>
                            </w:r>
                          </w:p>
                          <w:p w14:paraId="460E252E" w14:textId="77777777" w:rsidR="00980D14" w:rsidRPr="00187B92" w:rsidRDefault="00980D14" w:rsidP="0013707B">
                            <w:r>
                              <w:t>The Panel noted that intolerance reactions to benzoic acid and its salts have been reported in the literature, manifesting as gastrointestinal disturbances, skin reactions (urticaria, pruritus, etc.), bronchial hyper reactivity or asthmatic attacks, effects on the central nervous system or even anaphylaxis.</w:t>
                            </w:r>
                          </w:p>
                        </w:txbxContent>
                      </wps:txbx>
                      <wps:bodyPr rot="0" vert="horz" wrap="square" lIns="91440" tIns="45720" rIns="91440" bIns="45720" anchor="t" anchorCtr="0">
                        <a:spAutoFit/>
                      </wps:bodyPr>
                    </wps:wsp>
                  </a:graphicData>
                </a:graphic>
              </wp:inline>
            </w:drawing>
          </mc:Choice>
          <mc:Fallback>
            <w:pict>
              <v:shape w14:anchorId="393F41C1" id="_x0000_s1029" type="#_x0000_t202" style="width:460.65pt;height:2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" fillcolor="#d8d8d8 [2732]">
                <v:textbox style="mso-fit-shape-to-text:t">
                  <w:txbxContent>
                    <w:p w14:paraId="59B4C7DB" w14:textId="77777777" w:rsidR="00980D14" w:rsidRDefault="00980D14" w:rsidP="00C367D4">
                      <w:r w:rsidRPr="0013707B">
                        <w:t>NL CA remark: It was</w:t>
                      </w:r>
                      <w:r>
                        <w:t xml:space="preserve"> pointed out by a refMS that there is a literature showing a possible positive correlation between worker exposure to a structurally similar compound, BCMBA and development of occupational asthma, rhinitis and urticarial, and it would be useful to include this information.</w:t>
                      </w:r>
                    </w:p>
                    <w:p w14:paraId="0764113A" w14:textId="77777777" w:rsidR="00980D14" w:rsidRDefault="00980D14" w:rsidP="00C367D4"/>
                    <w:p w14:paraId="24F58A6E" w14:textId="77777777" w:rsidR="00980D14" w:rsidRDefault="00980D14" w:rsidP="00C367D4">
                      <w:r>
                        <w:t>Reference of the study: 3-(Bromomethyl)-2-chloro-4-(methylsulfonyl)- benzoic acid: a new cause of sensitiser induced occupational asthma, rhinitis and urticarial (2017).</w:t>
                      </w:r>
                    </w:p>
                    <w:p w14:paraId="7ACC65D0" w14:textId="77777777" w:rsidR="00980D14" w:rsidRPr="00394E43" w:rsidRDefault="00980D14" w:rsidP="00C367D4">
                      <w:pPr>
                        <w:rPr>
                          <w:lang w:val="nl-NL"/>
                        </w:rPr>
                      </w:pPr>
                      <w:r w:rsidRPr="00394E43">
                        <w:rPr>
                          <w:lang w:val="nl-NL"/>
                        </w:rPr>
                        <w:t>Suojalehto H1, Karvala K1, Ahonen S1,2, Ylinen K3, Airaksinen L1, Suuronen K1, Suomela S1, Lindström I1.</w:t>
                      </w:r>
                    </w:p>
                    <w:p w14:paraId="0E6AE430" w14:textId="77777777" w:rsidR="00980D14" w:rsidRPr="00394E43" w:rsidRDefault="00980D14" w:rsidP="00C367D4">
                      <w:pPr>
                        <w:rPr>
                          <w:lang w:val="nl-NL"/>
                        </w:rPr>
                      </w:pPr>
                    </w:p>
                    <w:p w14:paraId="35C0B039" w14:textId="77777777" w:rsidR="00980D14" w:rsidRDefault="00980D14" w:rsidP="00C367D4">
                      <w:r>
                        <w:t xml:space="preserve">NL CA notes that the intolerance reactions to benzoic acid and its salts have been observed in sensitive population. </w:t>
                      </w:r>
                    </w:p>
                    <w:p w14:paraId="3C3549AF" w14:textId="77777777" w:rsidR="00980D14" w:rsidRDefault="00980D14" w:rsidP="00C367D4"/>
                    <w:p w14:paraId="63588348" w14:textId="77777777" w:rsidR="00980D14" w:rsidRDefault="00980D14" w:rsidP="00C367D4">
                      <w:r>
                        <w:t xml:space="preserve">e.g. WHO CICADs (2000) </w:t>
                      </w:r>
                    </w:p>
                    <w:p w14:paraId="55B150A6" w14:textId="77777777" w:rsidR="00980D14" w:rsidRDefault="00980D14" w:rsidP="00C367D4">
                      <w:r>
                        <w:t>Cases of urticaria, asthma, rhinitis, or anaphylactic shock have been reported following oral, dermal, or inhalation exposure to benzoic acid and sodium benzoate. The symptoms appear shortly after exposure and disappear within a few hours, even at low doses</w:t>
                      </w:r>
                    </w:p>
                    <w:p w14:paraId="0E6FD4F0" w14:textId="77777777" w:rsidR="00980D14" w:rsidRDefault="00980D14" w:rsidP="00C367D4"/>
                    <w:p w14:paraId="7348AC7D" w14:textId="77777777" w:rsidR="00980D14" w:rsidRDefault="00980D14" w:rsidP="00C367D4">
                      <w:r>
                        <w:t>e.g. Scientific opinion EFSA ANS Panel (2016)</w:t>
                      </w:r>
                    </w:p>
                    <w:p w14:paraId="460E252E" w14:textId="77777777" w:rsidR="00980D14" w:rsidRPr="00187B92" w:rsidRDefault="00980D14" w:rsidP="0013707B">
                      <w:r>
                        <w:t>The Panel noted that intolerance reactions to benzoic acid and its salts have been reported in the literature, manifesting as gastrointestinal disturbances, skin reactions (urticaria, pruritus, etc.), bronchial hyper reactivity or asthmatic attacks, effects on the central nervous system or even anaphylaxis.</w:t>
                      </w:r>
                    </w:p>
                  </w:txbxContent>
                </v:textbox>
                <w10:anchorlock/>
              </v:shape>
            </w:pict>
          </mc:Fallback>
        </mc:AlternateContent>
      </w:r>
    </w:p>
    <w:p w14:paraId="7929E8B7" w14:textId="77777777" w:rsidR="00C367D4" w:rsidRDefault="00C367D4">
      <w:pPr>
        <w:spacing w:line="260" w:lineRule="atLeast"/>
        <w:jc w:val="both"/>
        <w:rPr>
          <w:rFonts w:eastAsia="Calibri"/>
          <w:b/>
          <w:iCs/>
          <w:lang w:eastAsia="en-US"/>
        </w:rPr>
      </w:pPr>
    </w:p>
    <w:p w14:paraId="57D19C2E" w14:textId="77777777" w:rsidR="00CF59EF" w:rsidRDefault="000B5D37">
      <w:pPr>
        <w:spacing w:line="260" w:lineRule="atLeast"/>
        <w:jc w:val="both"/>
        <w:rPr>
          <w:rFonts w:eastAsia="Calibri"/>
          <w:b/>
          <w:iCs/>
          <w:lang w:eastAsia="en-US"/>
        </w:rPr>
      </w:pPr>
      <w:r>
        <w:rPr>
          <w:rFonts w:eastAsia="Calibri"/>
          <w:b/>
          <w:iCs/>
          <w:lang w:eastAsia="en-US"/>
        </w:rPr>
        <w:t xml:space="preserve">Reproductive and developmental toxicity </w:t>
      </w:r>
    </w:p>
    <w:p w14:paraId="1F61798A" w14:textId="77777777" w:rsidR="00CF59EF" w:rsidRDefault="00CF59EF">
      <w:pPr>
        <w:spacing w:line="260" w:lineRule="atLeast"/>
        <w:jc w:val="both"/>
        <w:rPr>
          <w:rFonts w:eastAsia="Calibri"/>
          <w:b/>
          <w:iCs/>
          <w:lang w:eastAsia="en-US"/>
        </w:rPr>
      </w:pPr>
    </w:p>
    <w:p w14:paraId="79805B07" w14:textId="77777777" w:rsidR="00CF59EF" w:rsidRDefault="000B5D37">
      <w:pPr>
        <w:spacing w:line="260" w:lineRule="atLeast"/>
        <w:jc w:val="both"/>
        <w:rPr>
          <w:rFonts w:eastAsia="Calibri"/>
          <w:iCs/>
          <w:lang w:eastAsia="en-US"/>
        </w:rPr>
      </w:pPr>
      <w:r>
        <w:rPr>
          <w:rFonts w:eastAsia="Calibri"/>
          <w:iCs/>
          <w:lang w:eastAsia="en-US"/>
        </w:rPr>
        <w:t>The studies available on repeated dose toxicity and carcinogenicity of sodium benzoate do not reveal effects on the reproductive organs/tissues in both male and female laboratory animals. In a 4-generation study with the analogue benzoic acid (</w:t>
      </w:r>
      <w:proofErr w:type="spellStart"/>
      <w:r w:rsidR="005D5483" w:rsidRPr="002F4C58">
        <w:rPr>
          <w:rFonts w:eastAsia="Calibri"/>
          <w:highlight w:val="black"/>
        </w:rPr>
        <w:t>xxxxx</w:t>
      </w:r>
      <w:proofErr w:type="spellEnd"/>
      <w:r>
        <w:rPr>
          <w:rFonts w:eastAsia="Calibri"/>
          <w:iCs/>
          <w:lang w:eastAsia="en-US"/>
        </w:rPr>
        <w:t xml:space="preserve">), no effects on reproductive performance and off-spring were reported up to </w:t>
      </w:r>
      <w:r w:rsidR="00B74FE9">
        <w:rPr>
          <w:rFonts w:eastAsia="Calibri"/>
          <w:iCs/>
          <w:lang w:eastAsia="en-US"/>
        </w:rPr>
        <w:t>1</w:t>
      </w:r>
      <w:r>
        <w:rPr>
          <w:rFonts w:eastAsia="Calibri"/>
          <w:iCs/>
          <w:lang w:eastAsia="en-US"/>
        </w:rPr>
        <w:t xml:space="preserve">% benzoic acid in feed (500 mg/kg </w:t>
      </w:r>
      <w:proofErr w:type="spellStart"/>
      <w:r>
        <w:rPr>
          <w:rFonts w:eastAsia="Calibri"/>
          <w:iCs/>
          <w:lang w:eastAsia="en-US"/>
        </w:rPr>
        <w:t>bw</w:t>
      </w:r>
      <w:proofErr w:type="spellEnd"/>
      <w:r>
        <w:rPr>
          <w:rFonts w:eastAsia="Calibri"/>
          <w:iCs/>
          <w:lang w:eastAsia="en-US"/>
        </w:rPr>
        <w:t>).</w:t>
      </w:r>
    </w:p>
    <w:p w14:paraId="4C3108B7" w14:textId="77777777" w:rsidR="00CF59EF" w:rsidRDefault="00CF59EF">
      <w:pPr>
        <w:spacing w:line="260" w:lineRule="atLeast"/>
        <w:jc w:val="both"/>
        <w:rPr>
          <w:rFonts w:eastAsia="Calibri"/>
          <w:iCs/>
          <w:lang w:eastAsia="en-US"/>
        </w:rPr>
      </w:pPr>
    </w:p>
    <w:p w14:paraId="102820FC" w14:textId="77777777" w:rsidR="00CF59EF" w:rsidRDefault="000B5D37">
      <w:pPr>
        <w:spacing w:line="260" w:lineRule="atLeast"/>
        <w:jc w:val="both"/>
        <w:rPr>
          <w:rFonts w:eastAsia="Calibri"/>
          <w:b/>
          <w:iCs/>
          <w:lang w:eastAsia="en-US"/>
        </w:rPr>
      </w:pPr>
      <w:r>
        <w:rPr>
          <w:rFonts w:eastAsia="Calibri"/>
          <w:b/>
          <w:iCs/>
          <w:lang w:eastAsia="en-US"/>
        </w:rPr>
        <w:t>Carcinogenicity</w:t>
      </w:r>
    </w:p>
    <w:p w14:paraId="6E86287A" w14:textId="77777777" w:rsidR="00CF59EF" w:rsidRDefault="000B5D37">
      <w:pPr>
        <w:spacing w:line="260" w:lineRule="atLeast"/>
        <w:jc w:val="both"/>
        <w:rPr>
          <w:rFonts w:eastAsia="Calibri"/>
          <w:iCs/>
          <w:lang w:eastAsia="en-US"/>
        </w:rPr>
      </w:pPr>
      <w:r>
        <w:rPr>
          <w:rFonts w:eastAsia="Calibri"/>
          <w:iCs/>
          <w:lang w:eastAsia="en-US"/>
        </w:rPr>
        <w:t>Two studies are available on the carcinogenicity of sodi</w:t>
      </w:r>
      <w:r w:rsidR="0020091E">
        <w:rPr>
          <w:rFonts w:eastAsia="Calibri"/>
          <w:iCs/>
          <w:lang w:eastAsia="en-US"/>
        </w:rPr>
        <w:t>u</w:t>
      </w:r>
      <w:r>
        <w:rPr>
          <w:rFonts w:eastAsia="Calibri"/>
          <w:iCs/>
          <w:lang w:eastAsia="en-US"/>
        </w:rPr>
        <w:t>m benzoate.</w:t>
      </w:r>
    </w:p>
    <w:p w14:paraId="2BCBD4B8" w14:textId="77777777" w:rsidR="00CF59EF" w:rsidRDefault="00CF59EF">
      <w:pPr>
        <w:spacing w:line="260" w:lineRule="atLeast"/>
        <w:jc w:val="both"/>
        <w:rPr>
          <w:rFonts w:eastAsia="Calibri"/>
          <w:iCs/>
          <w:lang w:eastAsia="en-US"/>
        </w:rPr>
      </w:pPr>
    </w:p>
    <w:p w14:paraId="45AC6F2F" w14:textId="77777777" w:rsidR="00CF59EF" w:rsidRDefault="000B5D37">
      <w:pPr>
        <w:spacing w:line="260" w:lineRule="atLeast"/>
        <w:jc w:val="both"/>
        <w:rPr>
          <w:rFonts w:eastAsia="Calibri"/>
          <w:iCs/>
          <w:lang w:eastAsia="en-US"/>
        </w:rPr>
      </w:pPr>
      <w:r>
        <w:rPr>
          <w:rFonts w:eastAsia="Calibri"/>
          <w:iCs/>
          <w:lang w:eastAsia="en-US"/>
        </w:rPr>
        <w:t>The carcinogenicity of sodium benzoate was examined in Fischer 344 rats (</w:t>
      </w:r>
      <w:proofErr w:type="spellStart"/>
      <w:r w:rsidR="005D5483" w:rsidRPr="002F4C58">
        <w:rPr>
          <w:rFonts w:eastAsia="Calibri"/>
          <w:highlight w:val="black"/>
        </w:rPr>
        <w:t>xxxxx</w:t>
      </w:r>
      <w:proofErr w:type="spellEnd"/>
      <w:r>
        <w:rPr>
          <w:rFonts w:eastAsia="Calibri"/>
          <w:iCs/>
          <w:lang w:eastAsia="en-US"/>
        </w:rPr>
        <w:t>). The test substance was administered in the diet for 18 to 24 months at two dose levels (1% and 2%). No adverse clinical signs directly attributable to the compound were observed in treated animals. Differences in the average body weight, and mortality rates between treated and control groups were negligible. The results of the statistical test for dose-related trends were significant (p&lt;0.05). Although a variety of tumo</w:t>
      </w:r>
      <w:r w:rsidR="005B6320">
        <w:rPr>
          <w:rFonts w:eastAsia="Calibri"/>
          <w:iCs/>
          <w:lang w:eastAsia="en-US"/>
        </w:rPr>
        <w:t>u</w:t>
      </w:r>
      <w:r>
        <w:rPr>
          <w:rFonts w:eastAsia="Calibri"/>
          <w:iCs/>
          <w:lang w:eastAsia="en-US"/>
        </w:rPr>
        <w:t>rs occurred among test and control rats of each sex, tumo</w:t>
      </w:r>
      <w:r w:rsidR="005B6320">
        <w:rPr>
          <w:rFonts w:eastAsia="Calibri"/>
          <w:iCs/>
          <w:lang w:eastAsia="en-US"/>
        </w:rPr>
        <w:t>u</w:t>
      </w:r>
      <w:r>
        <w:rPr>
          <w:rFonts w:eastAsia="Calibri"/>
          <w:iCs/>
          <w:lang w:eastAsia="en-US"/>
        </w:rPr>
        <w:t>rs appearing in treated rats were similar in type and number to those in controls. It was concluded that no evidence of carcinogenicity in rats from the test substance was demonstrated. The reliability of this study is considered to be 2 (reliable with restrictions, minimal data on study design, experimental results and study not performed following GLP guidelines).</w:t>
      </w:r>
    </w:p>
    <w:p w14:paraId="03323DD6" w14:textId="77777777" w:rsidR="00CF59EF" w:rsidRDefault="00CF59EF">
      <w:pPr>
        <w:spacing w:line="260" w:lineRule="atLeast"/>
        <w:jc w:val="both"/>
        <w:rPr>
          <w:rFonts w:eastAsia="Calibri"/>
          <w:iCs/>
          <w:lang w:eastAsia="en-US"/>
        </w:rPr>
      </w:pPr>
    </w:p>
    <w:p w14:paraId="397AF377" w14:textId="77777777" w:rsidR="00CF59EF" w:rsidRDefault="000B5D37">
      <w:pPr>
        <w:spacing w:line="260" w:lineRule="atLeast"/>
        <w:jc w:val="both"/>
        <w:rPr>
          <w:rFonts w:eastAsia="Calibri"/>
          <w:b/>
          <w:iCs/>
          <w:lang w:eastAsia="en-US"/>
        </w:rPr>
      </w:pPr>
      <w:r>
        <w:rPr>
          <w:rFonts w:eastAsia="Calibri"/>
          <w:iCs/>
          <w:lang w:eastAsia="en-US"/>
        </w:rPr>
        <w:t>This conclusion is supported by the outcome of a second carcinogenicity study, in which sodium benzoate was administered as a 2% solution in drinking water for life to randomly bred Swiss mice (</w:t>
      </w:r>
      <w:proofErr w:type="spellStart"/>
      <w:r w:rsidR="005D5483" w:rsidRPr="002F4C58">
        <w:rPr>
          <w:rFonts w:eastAsia="Calibri"/>
          <w:highlight w:val="black"/>
        </w:rPr>
        <w:t>xxxxx</w:t>
      </w:r>
      <w:proofErr w:type="spellEnd"/>
      <w:r>
        <w:rPr>
          <w:rFonts w:eastAsia="Calibri"/>
          <w:iCs/>
          <w:lang w:eastAsia="en-US"/>
        </w:rPr>
        <w:t xml:space="preserve">). Consumption of the test substance caused no detectable tumorigenic effect under the experimental conditions of this test. The reliability of this study </w:t>
      </w:r>
      <w:r>
        <w:rPr>
          <w:rFonts w:eastAsia="Calibri"/>
          <w:iCs/>
          <w:lang w:eastAsia="en-US"/>
        </w:rPr>
        <w:lastRenderedPageBreak/>
        <w:t>was concluded to be 2 (reliable with restrictions;  minimal data on study design and results, and study not performed following GLP guidelines).</w:t>
      </w:r>
    </w:p>
    <w:p w14:paraId="3CDAE2F7" w14:textId="77777777" w:rsidR="00CF59EF" w:rsidRDefault="00CF59EF">
      <w:pPr>
        <w:spacing w:line="260" w:lineRule="atLeast"/>
        <w:jc w:val="both"/>
        <w:rPr>
          <w:rFonts w:eastAsia="Calibri"/>
          <w:b/>
          <w:iCs/>
          <w:lang w:eastAsia="en-US"/>
        </w:rPr>
      </w:pPr>
    </w:p>
    <w:p w14:paraId="3441FA31" w14:textId="77777777" w:rsidR="003E2A78" w:rsidRPr="002F2109" w:rsidRDefault="003E2A78" w:rsidP="006738CA">
      <w:pPr>
        <w:pStyle w:val="Heading4"/>
      </w:pPr>
      <w:bookmarkStart w:id="1479" w:name="_Toc403566576"/>
      <w:bookmarkStart w:id="1480" w:name="_Toc403472764"/>
      <w:bookmarkStart w:id="1481" w:name="_Toc389729062"/>
      <w:bookmarkStart w:id="1482" w:name="_Toc531868668"/>
      <w:bookmarkEnd w:id="1479"/>
      <w:bookmarkEnd w:id="1480"/>
      <w:bookmarkEnd w:id="1481"/>
      <w:r w:rsidRPr="00AC2E7F">
        <w:t>Endocrine Disruptor Assessment</w:t>
      </w:r>
      <w:bookmarkEnd w:id="1482"/>
    </w:p>
    <w:p w14:paraId="6228092F" w14:textId="77777777" w:rsidR="007F25FD" w:rsidRPr="007F25FD" w:rsidRDefault="007F25FD" w:rsidP="007F25FD">
      <w:pPr>
        <w:pStyle w:val="Column3"/>
        <w:ind w:left="0"/>
        <w:rPr>
          <w:rFonts w:ascii="Verdana" w:hAnsi="Verdana"/>
          <w:iCs/>
          <w:sz w:val="20"/>
          <w:lang w:eastAsia="de-DE"/>
        </w:rPr>
      </w:pPr>
      <w:bookmarkStart w:id="1483" w:name="_Toc531868669"/>
      <w:r w:rsidRPr="007F25FD">
        <w:rPr>
          <w:rFonts w:ascii="Verdana" w:hAnsi="Verdana"/>
          <w:iCs/>
          <w:sz w:val="20"/>
          <w:lang w:eastAsia="de-DE"/>
        </w:rPr>
        <w:t xml:space="preserve">Not relevant because </w:t>
      </w:r>
      <w:proofErr w:type="spellStart"/>
      <w:r w:rsidRPr="007F25FD">
        <w:rPr>
          <w:rFonts w:ascii="Verdana" w:hAnsi="Verdana"/>
          <w:iCs/>
          <w:sz w:val="20"/>
          <w:lang w:eastAsia="de-DE"/>
        </w:rPr>
        <w:t>Kalaguard</w:t>
      </w:r>
      <w:proofErr w:type="spellEnd"/>
      <w:r w:rsidRPr="007F25FD">
        <w:rPr>
          <w:rFonts w:ascii="Verdana" w:hAnsi="Verdana"/>
          <w:iCs/>
          <w:sz w:val="20"/>
          <w:lang w:eastAsia="de-DE"/>
        </w:rPr>
        <w:t xml:space="preserve">® SB only contains the active substance sodium benzoate, which has been approved for annex I inclusion, and no co-formulants. </w:t>
      </w:r>
    </w:p>
    <w:bookmarkEnd w:id="1483"/>
    <w:p w14:paraId="34F532AE" w14:textId="77777777" w:rsidR="003E2A78" w:rsidRPr="007F25FD" w:rsidRDefault="003E2A78" w:rsidP="006738CA">
      <w:pPr>
        <w:pStyle w:val="Heading4"/>
        <w:rPr>
          <w:lang w:val="en-GB"/>
        </w:rPr>
      </w:pPr>
    </w:p>
    <w:p w14:paraId="3DA6188D" w14:textId="77777777" w:rsidR="00CF59EF" w:rsidRDefault="000B5D37" w:rsidP="00172945">
      <w:pPr>
        <w:pStyle w:val="Heading3"/>
      </w:pPr>
      <w:bookmarkStart w:id="1484" w:name="_Toc531868670"/>
      <w:proofErr w:type="spellStart"/>
      <w:r>
        <w:t>Exposure</w:t>
      </w:r>
      <w:proofErr w:type="spellEnd"/>
      <w:r>
        <w:t xml:space="preserve"> </w:t>
      </w:r>
      <w:proofErr w:type="spellStart"/>
      <w:r>
        <w:t>assessment</w:t>
      </w:r>
      <w:bookmarkEnd w:id="1484"/>
      <w:proofErr w:type="spellEnd"/>
    </w:p>
    <w:p w14:paraId="28089CCF" w14:textId="77777777" w:rsidR="00CF59EF" w:rsidRDefault="00CF59EF">
      <w:pPr>
        <w:spacing w:line="260" w:lineRule="atLeast"/>
        <w:rPr>
          <w:rFonts w:eastAsia="Calibri"/>
          <w:lang w:eastAsia="en-US"/>
        </w:rPr>
      </w:pPr>
    </w:p>
    <w:p w14:paraId="6D7484E4" w14:textId="77777777" w:rsidR="00CF59EF" w:rsidRDefault="000B5D37">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2A1B1AE9" w14:textId="77777777" w:rsidR="00CF59EF" w:rsidRDefault="00CF59EF">
      <w:pPr>
        <w:spacing w:line="260" w:lineRule="atLeast"/>
        <w:jc w:val="both"/>
        <w:rPr>
          <w:rFonts w:eastAsia="Calibri"/>
          <w:b/>
          <w:bCs/>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95"/>
        <w:gridCol w:w="1162"/>
        <w:gridCol w:w="1415"/>
        <w:gridCol w:w="1409"/>
        <w:gridCol w:w="1163"/>
        <w:gridCol w:w="1415"/>
        <w:gridCol w:w="940"/>
        <w:gridCol w:w="598"/>
      </w:tblGrid>
      <w:tr w:rsidR="00CF59EF" w14:paraId="08E0122C" w14:textId="77777777">
        <w:trPr>
          <w:tblHeader/>
        </w:trPr>
        <w:tc>
          <w:tcPr>
            <w:tcW w:w="9212" w:type="dxa"/>
            <w:gridSpan w:val="8"/>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6CE42EB0" w14:textId="77777777" w:rsidR="00CF59EF" w:rsidRDefault="000B5D37">
            <w:pPr>
              <w:spacing w:line="260" w:lineRule="atLeast"/>
              <w:jc w:val="center"/>
              <w:rPr>
                <w:rFonts w:eastAsia="Calibri"/>
                <w:b/>
                <w:lang w:eastAsia="en-US"/>
              </w:rPr>
            </w:pPr>
            <w:r>
              <w:rPr>
                <w:rFonts w:eastAsia="Calibri"/>
                <w:b/>
                <w:lang w:eastAsia="en-US"/>
              </w:rPr>
              <w:t>Summary table: relevant paths of human exposure</w:t>
            </w:r>
          </w:p>
        </w:tc>
      </w:tr>
      <w:tr w:rsidR="00CF59EF" w14:paraId="65FAE7EF" w14:textId="77777777">
        <w:trPr>
          <w:tblHeader/>
        </w:trPr>
        <w:tc>
          <w:tcPr>
            <w:tcW w:w="1190" w:type="dxa"/>
            <w:vMerge w:val="restart"/>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vAlign w:val="center"/>
          </w:tcPr>
          <w:p w14:paraId="1725DBC2" w14:textId="77777777" w:rsidR="00CF59EF" w:rsidRDefault="000B5D37">
            <w:pPr>
              <w:spacing w:line="260" w:lineRule="atLeast"/>
              <w:rPr>
                <w:rFonts w:eastAsia="Calibri"/>
                <w:b/>
                <w:lang w:eastAsia="en-US"/>
              </w:rPr>
            </w:pPr>
            <w:r>
              <w:rPr>
                <w:rFonts w:eastAsia="Calibri"/>
                <w:b/>
                <w:lang w:eastAsia="en-US"/>
              </w:rPr>
              <w:t>Exposure path</w:t>
            </w:r>
          </w:p>
        </w:tc>
        <w:tc>
          <w:tcPr>
            <w:tcW w:w="3904" w:type="dxa"/>
            <w:gridSpan w:val="3"/>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vAlign w:val="center"/>
          </w:tcPr>
          <w:p w14:paraId="226C56AE" w14:textId="77777777" w:rsidR="00CF59EF" w:rsidRDefault="000B5D37">
            <w:pPr>
              <w:spacing w:line="260" w:lineRule="atLeast"/>
              <w:rPr>
                <w:rFonts w:eastAsia="Calibri"/>
                <w:b/>
                <w:lang w:eastAsia="en-US"/>
              </w:rPr>
            </w:pPr>
            <w:r>
              <w:rPr>
                <w:rFonts w:eastAsia="Calibri"/>
                <w:b/>
                <w:lang w:eastAsia="en-US"/>
              </w:rPr>
              <w:t xml:space="preserve">Primary (direct) exposure </w:t>
            </w:r>
          </w:p>
        </w:tc>
        <w:tc>
          <w:tcPr>
            <w:tcW w:w="4118" w:type="dxa"/>
            <w:gridSpan w:val="4"/>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1460357" w14:textId="77777777" w:rsidR="00CF59EF" w:rsidRDefault="000B5D37">
            <w:pPr>
              <w:spacing w:line="260" w:lineRule="atLeast"/>
              <w:rPr>
                <w:rFonts w:eastAsia="Calibri"/>
                <w:b/>
                <w:lang w:eastAsia="en-US"/>
              </w:rPr>
            </w:pPr>
            <w:r>
              <w:rPr>
                <w:rFonts w:eastAsia="Calibri"/>
                <w:b/>
                <w:lang w:eastAsia="en-US"/>
              </w:rPr>
              <w:t xml:space="preserve">Secondary (indirect) exposure </w:t>
            </w:r>
          </w:p>
        </w:tc>
      </w:tr>
      <w:tr w:rsidR="00CF59EF" w14:paraId="5FB204E9" w14:textId="77777777">
        <w:trPr>
          <w:tblHeader/>
        </w:trPr>
        <w:tc>
          <w:tcPr>
            <w:tcW w:w="1190" w:type="dxa"/>
            <w:vMerge/>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5A0B907" w14:textId="77777777" w:rsidR="00CF59EF" w:rsidRDefault="00CF59EF">
            <w:pPr>
              <w:spacing w:line="260" w:lineRule="atLeast"/>
              <w:rPr>
                <w:rFonts w:eastAsia="Calibri"/>
                <w:lang w:eastAsia="en-US"/>
              </w:rPr>
            </w:pP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1E72F63" w14:textId="77777777" w:rsidR="00CF59EF" w:rsidRDefault="000B5D37">
            <w:pPr>
              <w:spacing w:line="260" w:lineRule="atLeast"/>
              <w:rPr>
                <w:rFonts w:eastAsia="Calibri"/>
                <w:b/>
                <w:lang w:eastAsia="en-US"/>
              </w:rPr>
            </w:pPr>
            <w:r>
              <w:rPr>
                <w:rFonts w:eastAsia="Calibri"/>
                <w:b/>
                <w:lang w:eastAsia="en-US"/>
              </w:rPr>
              <w:t>Industrial use</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D11CDBD" w14:textId="77777777" w:rsidR="00CF59EF" w:rsidRDefault="000B5D37">
            <w:pPr>
              <w:spacing w:line="260" w:lineRule="atLeast"/>
              <w:rPr>
                <w:rFonts w:eastAsia="Calibri"/>
                <w:b/>
                <w:lang w:eastAsia="en-US"/>
              </w:rPr>
            </w:pPr>
            <w:r>
              <w:rPr>
                <w:rFonts w:eastAsia="Calibri"/>
                <w:b/>
                <w:lang w:eastAsia="en-US"/>
              </w:rPr>
              <w:t>Professional use</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F0ED7A1" w14:textId="77777777" w:rsidR="00CF59EF" w:rsidRDefault="000B5D37">
            <w:pPr>
              <w:spacing w:line="260" w:lineRule="atLeast"/>
              <w:rPr>
                <w:rFonts w:eastAsia="Calibri"/>
                <w:b/>
                <w:lang w:eastAsia="en-US"/>
              </w:rPr>
            </w:pPr>
            <w:r>
              <w:rPr>
                <w:rFonts w:eastAsia="Calibri"/>
                <w:b/>
                <w:lang w:eastAsia="en-US"/>
              </w:rPr>
              <w:t>Non-professional use</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772FAA7" w14:textId="77777777" w:rsidR="00CF59EF" w:rsidRDefault="000B5D37">
            <w:pPr>
              <w:spacing w:line="260" w:lineRule="atLeast"/>
              <w:rPr>
                <w:rFonts w:eastAsia="Calibri"/>
                <w:b/>
                <w:lang w:eastAsia="en-US"/>
              </w:rPr>
            </w:pPr>
            <w:r>
              <w:rPr>
                <w:rFonts w:eastAsia="Calibri"/>
                <w:b/>
                <w:lang w:eastAsia="en-US"/>
              </w:rPr>
              <w:t>Industrial use</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106B73A" w14:textId="77777777" w:rsidR="00CF59EF" w:rsidRDefault="000B5D37">
            <w:pPr>
              <w:spacing w:line="260" w:lineRule="atLeast"/>
              <w:rPr>
                <w:rFonts w:eastAsia="Calibri"/>
                <w:b/>
                <w:lang w:eastAsia="en-US"/>
              </w:rPr>
            </w:pPr>
            <w:r>
              <w:rPr>
                <w:rFonts w:eastAsia="Calibri"/>
                <w:b/>
                <w:lang w:eastAsia="en-US"/>
              </w:rPr>
              <w:t>Professional use</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B00EC0" w14:textId="77777777" w:rsidR="00CF59EF" w:rsidRDefault="000B5D37">
            <w:pPr>
              <w:spacing w:line="260" w:lineRule="atLeast"/>
              <w:rPr>
                <w:rFonts w:eastAsia="Calibri"/>
                <w:b/>
                <w:lang w:eastAsia="en-US"/>
              </w:rPr>
            </w:pPr>
            <w:r>
              <w:rPr>
                <w:rFonts w:eastAsia="Calibri"/>
                <w:b/>
                <w:lang w:eastAsia="en-US"/>
              </w:rPr>
              <w:t>General public</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232BE0F" w14:textId="77777777" w:rsidR="00CF59EF" w:rsidRDefault="000B5D37">
            <w:pPr>
              <w:spacing w:line="260" w:lineRule="atLeast"/>
              <w:rPr>
                <w:rFonts w:eastAsia="Calibri"/>
                <w:b/>
                <w:lang w:eastAsia="en-US"/>
              </w:rPr>
            </w:pPr>
            <w:r>
              <w:rPr>
                <w:rFonts w:eastAsia="Calibri"/>
                <w:b/>
                <w:lang w:eastAsia="en-US"/>
              </w:rPr>
              <w:t>Via food</w:t>
            </w:r>
          </w:p>
        </w:tc>
      </w:tr>
      <w:tr w:rsidR="00CF59EF" w14:paraId="2620648A" w14:textId="77777777">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B735914" w14:textId="77777777" w:rsidR="00CF59EF" w:rsidRDefault="000B5D37">
            <w:pPr>
              <w:spacing w:line="260" w:lineRule="atLeast"/>
              <w:rPr>
                <w:rFonts w:eastAsia="Calibri"/>
                <w:lang w:eastAsia="en-US"/>
              </w:rPr>
            </w:pPr>
            <w:r>
              <w:rPr>
                <w:rFonts w:eastAsia="Calibri"/>
                <w:lang w:eastAsia="en-US"/>
              </w:rPr>
              <w:t>Inhalation</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32D2677" w14:textId="77777777" w:rsidR="00CF59EF" w:rsidRDefault="000B5D37">
            <w:pPr>
              <w:spacing w:line="260" w:lineRule="atLeast"/>
              <w:rPr>
                <w:rFonts w:eastAsia="Calibri"/>
                <w:lang w:eastAsia="en-US"/>
              </w:rPr>
            </w:pPr>
            <w:r>
              <w:rPr>
                <w:rFonts w:eastAsia="Calibri"/>
                <w:lang w:eastAsia="en-US"/>
              </w:rPr>
              <w:t>Yes</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62960AD" w14:textId="77777777"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C6E7E3A" w14:textId="77777777"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ED4572" w14:textId="77777777"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8E001B" w14:textId="77777777" w:rsidR="00CF59EF" w:rsidRDefault="000B5D37">
            <w:pPr>
              <w:spacing w:line="260" w:lineRule="atLeast"/>
              <w:rPr>
                <w:rFonts w:eastAsia="Calibri"/>
                <w:lang w:eastAsia="en-US"/>
              </w:rPr>
            </w:pPr>
            <w:r>
              <w:rPr>
                <w:rFonts w:eastAsia="Calibri"/>
                <w:lang w:eastAsia="en-US"/>
              </w:rPr>
              <w:t>Yes</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4A6CF8A" w14:textId="77777777"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E74E921" w14:textId="77777777" w:rsidR="00CF59EF" w:rsidRDefault="000B5D37">
            <w:pPr>
              <w:spacing w:line="260" w:lineRule="atLeast"/>
              <w:rPr>
                <w:rFonts w:eastAsia="Calibri"/>
                <w:lang w:eastAsia="en-US"/>
              </w:rPr>
            </w:pPr>
            <w:r>
              <w:rPr>
                <w:rFonts w:eastAsia="Calibri"/>
                <w:lang w:eastAsia="en-US"/>
              </w:rPr>
              <w:t>No</w:t>
            </w:r>
          </w:p>
        </w:tc>
      </w:tr>
      <w:tr w:rsidR="00CF59EF" w14:paraId="48DEAE5F" w14:textId="77777777">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3BDDBE6" w14:textId="77777777" w:rsidR="00CF59EF" w:rsidRDefault="000B5D37">
            <w:pPr>
              <w:spacing w:line="260" w:lineRule="atLeast"/>
              <w:rPr>
                <w:rFonts w:eastAsia="Calibri"/>
                <w:lang w:eastAsia="en-US"/>
              </w:rPr>
            </w:pPr>
            <w:r>
              <w:rPr>
                <w:rFonts w:eastAsia="Calibri"/>
                <w:lang w:eastAsia="en-US"/>
              </w:rPr>
              <w:t>Dermal</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5A9D142" w14:textId="77777777" w:rsidR="00CF59EF" w:rsidRDefault="000B5D37">
            <w:pPr>
              <w:spacing w:line="260" w:lineRule="atLeast"/>
              <w:rPr>
                <w:rFonts w:eastAsia="Calibri"/>
                <w:lang w:eastAsia="en-US"/>
              </w:rPr>
            </w:pPr>
            <w:r>
              <w:rPr>
                <w:rFonts w:eastAsia="Calibri"/>
                <w:lang w:eastAsia="en-US"/>
              </w:rPr>
              <w:t>Yes</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ECDAE7D" w14:textId="77777777"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3ABBF42" w14:textId="77777777"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ED53C9E" w14:textId="77777777"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58333C4" w14:textId="77777777" w:rsidR="00CF59EF" w:rsidRDefault="000B5D37">
            <w:pPr>
              <w:spacing w:line="260" w:lineRule="atLeast"/>
              <w:rPr>
                <w:rFonts w:eastAsia="Calibri"/>
                <w:lang w:eastAsia="en-US"/>
              </w:rPr>
            </w:pPr>
            <w:r>
              <w:rPr>
                <w:rFonts w:eastAsia="Calibri"/>
                <w:lang w:eastAsia="en-US"/>
              </w:rPr>
              <w:t>Yes</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65D326" w14:textId="77777777"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6236D6" w14:textId="77777777" w:rsidR="00CF59EF" w:rsidRDefault="000B5D37">
            <w:pPr>
              <w:spacing w:line="260" w:lineRule="atLeast"/>
              <w:rPr>
                <w:rFonts w:eastAsia="Calibri"/>
                <w:lang w:eastAsia="en-US"/>
              </w:rPr>
            </w:pPr>
            <w:r>
              <w:rPr>
                <w:rFonts w:eastAsia="Calibri"/>
                <w:lang w:eastAsia="en-US"/>
              </w:rPr>
              <w:t>No</w:t>
            </w:r>
          </w:p>
        </w:tc>
      </w:tr>
      <w:tr w:rsidR="00CF59EF" w14:paraId="255C6BC0" w14:textId="77777777">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1D44B74" w14:textId="77777777" w:rsidR="00CF59EF" w:rsidRDefault="000B5D37">
            <w:pPr>
              <w:spacing w:line="260" w:lineRule="atLeast"/>
              <w:rPr>
                <w:rFonts w:eastAsia="Calibri"/>
                <w:lang w:eastAsia="en-US"/>
              </w:rPr>
            </w:pPr>
            <w:r>
              <w:rPr>
                <w:rFonts w:eastAsia="Calibri"/>
                <w:lang w:eastAsia="en-US"/>
              </w:rPr>
              <w:t>Oral</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85F6BEB" w14:textId="77777777" w:rsidR="00CF59EF" w:rsidRDefault="000B5D37">
            <w:pPr>
              <w:spacing w:line="260" w:lineRule="atLeast"/>
              <w:rPr>
                <w:rFonts w:eastAsia="Calibri"/>
                <w:lang w:eastAsia="en-US"/>
              </w:rPr>
            </w:pPr>
            <w:r>
              <w:rPr>
                <w:rFonts w:eastAsia="Calibri"/>
                <w:lang w:eastAsia="en-US"/>
              </w:rPr>
              <w:t>No</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FBBFADA" w14:textId="77777777"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99346EC" w14:textId="77777777"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214C1C0" w14:textId="77777777"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1599972" w14:textId="77777777" w:rsidR="00CF59EF" w:rsidRDefault="000B5D37">
            <w:pPr>
              <w:spacing w:line="260" w:lineRule="atLeast"/>
              <w:rPr>
                <w:rFonts w:eastAsia="Calibri"/>
                <w:lang w:eastAsia="en-US"/>
              </w:rPr>
            </w:pPr>
            <w:r>
              <w:rPr>
                <w:rFonts w:eastAsia="Calibri"/>
                <w:lang w:eastAsia="en-US"/>
              </w:rPr>
              <w:t>No</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5609B30" w14:textId="77777777"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62E32B7" w14:textId="77777777" w:rsidR="00CF59EF" w:rsidRDefault="00E00EEA">
            <w:pPr>
              <w:spacing w:line="260" w:lineRule="atLeast"/>
              <w:rPr>
                <w:rFonts w:eastAsia="Calibri"/>
                <w:lang w:eastAsia="en-US"/>
              </w:rPr>
            </w:pPr>
            <w:r>
              <w:rPr>
                <w:rFonts w:eastAsia="Calibri"/>
                <w:lang w:eastAsia="en-US"/>
              </w:rPr>
              <w:t>Yes</w:t>
            </w:r>
          </w:p>
        </w:tc>
      </w:tr>
    </w:tbl>
    <w:p w14:paraId="659E7359" w14:textId="77777777" w:rsidR="00CF59EF" w:rsidRDefault="00CF59EF">
      <w:pPr>
        <w:spacing w:line="260" w:lineRule="atLeast"/>
        <w:jc w:val="both"/>
        <w:rPr>
          <w:rFonts w:ascii="Times New Roman" w:eastAsia="Calibri" w:hAnsi="Times New Roman"/>
          <w:i/>
          <w:iCs/>
          <w:lang w:eastAsia="en-US"/>
        </w:rPr>
      </w:pPr>
    </w:p>
    <w:p w14:paraId="0ABC0BEE" w14:textId="77777777" w:rsidR="009E1039" w:rsidRDefault="009E1039">
      <w:pPr>
        <w:rPr>
          <w:rFonts w:eastAsia="Calibri"/>
          <w:b/>
          <w:i/>
          <w:sz w:val="22"/>
          <w:szCs w:val="22"/>
          <w:lang w:eastAsia="en-US"/>
        </w:rPr>
      </w:pPr>
      <w:bookmarkStart w:id="1485" w:name="_Toc403472765"/>
      <w:bookmarkStart w:id="1486" w:name="_Toc389729063"/>
      <w:bookmarkStart w:id="1487" w:name="_Toc387146344"/>
      <w:bookmarkStart w:id="1488" w:name="_Toc387142780"/>
      <w:bookmarkStart w:id="1489" w:name="_Toc387138973"/>
      <w:bookmarkStart w:id="1490" w:name="_Toc367976935"/>
      <w:bookmarkEnd w:id="1485"/>
      <w:bookmarkEnd w:id="1486"/>
      <w:bookmarkEnd w:id="1487"/>
      <w:bookmarkEnd w:id="1488"/>
      <w:bookmarkEnd w:id="1489"/>
      <w:bookmarkEnd w:id="1490"/>
    </w:p>
    <w:p w14:paraId="6B2260D5" w14:textId="77777777" w:rsidR="009E1039" w:rsidRDefault="009E1039">
      <w:pPr>
        <w:rPr>
          <w:rFonts w:eastAsia="Calibri"/>
          <w:b/>
          <w:i/>
          <w:sz w:val="22"/>
          <w:szCs w:val="22"/>
          <w:lang w:eastAsia="en-US"/>
        </w:rPr>
      </w:pPr>
    </w:p>
    <w:p w14:paraId="20E9AE23" w14:textId="77777777" w:rsidR="00CF59EF" w:rsidRDefault="000B5D37">
      <w:pPr>
        <w:rPr>
          <w:rFonts w:eastAsia="Calibri"/>
          <w:b/>
          <w:i/>
          <w:sz w:val="22"/>
          <w:szCs w:val="22"/>
          <w:lang w:eastAsia="en-US"/>
        </w:rPr>
      </w:pPr>
      <w:r>
        <w:rPr>
          <w:rFonts w:eastAsia="Calibri"/>
          <w:b/>
          <w:i/>
          <w:sz w:val="22"/>
          <w:szCs w:val="22"/>
          <w:lang w:eastAsia="en-US"/>
        </w:rPr>
        <w:t>List of scenarios</w:t>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31"/>
        <w:gridCol w:w="2524"/>
        <w:gridCol w:w="3993"/>
        <w:gridCol w:w="1649"/>
      </w:tblGrid>
      <w:tr w:rsidR="00CF59EF" w:rsidRPr="009E1039" w14:paraId="4BCA9693" w14:textId="77777777">
        <w:tc>
          <w:tcPr>
            <w:tcW w:w="921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3FCA37C7" w14:textId="77777777" w:rsidR="00CF59EF" w:rsidRPr="009E1039" w:rsidRDefault="000B5D37">
            <w:pPr>
              <w:keepNext/>
              <w:widowControl w:val="0"/>
              <w:tabs>
                <w:tab w:val="center" w:pos="4536"/>
                <w:tab w:val="right" w:pos="9072"/>
              </w:tabs>
              <w:spacing w:before="60" w:after="60"/>
              <w:jc w:val="center"/>
              <w:rPr>
                <w:rFonts w:eastAsia="Calibri"/>
                <w:b/>
                <w:bCs/>
                <w:color w:val="000000"/>
                <w:sz w:val="16"/>
                <w:szCs w:val="16"/>
                <w:lang w:eastAsia="en-GB"/>
              </w:rPr>
            </w:pPr>
            <w:r w:rsidRPr="009E1039">
              <w:rPr>
                <w:rFonts w:eastAsia="Calibri"/>
                <w:b/>
                <w:bCs/>
                <w:color w:val="000000"/>
                <w:sz w:val="16"/>
                <w:szCs w:val="16"/>
                <w:lang w:eastAsia="en-GB"/>
              </w:rPr>
              <w:lastRenderedPageBreak/>
              <w:t>Summary table: scenarios</w:t>
            </w:r>
          </w:p>
        </w:tc>
      </w:tr>
      <w:tr w:rsidR="00CF59EF" w:rsidRPr="009E1039" w14:paraId="34689961"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5FF519B" w14:textId="77777777"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Scenario number</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EEA76BC" w14:textId="77777777"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Scenario</w:t>
            </w:r>
          </w:p>
          <w:p w14:paraId="23D9D274" w14:textId="77777777"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Cs/>
                <w:color w:val="000000"/>
                <w:sz w:val="16"/>
                <w:szCs w:val="16"/>
                <w:lang w:eastAsia="en-GB"/>
              </w:rPr>
              <w:t>(e.g. mixing/ loading)</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66B82E8" w14:textId="77777777"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 xml:space="preserve">Primary or secondary exposure </w:t>
            </w:r>
          </w:p>
          <w:p w14:paraId="1589E529" w14:textId="77777777"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
                <w:bCs/>
                <w:color w:val="000000"/>
                <w:sz w:val="16"/>
                <w:szCs w:val="16"/>
                <w:lang w:eastAsia="en-GB"/>
              </w:rPr>
              <w:t>Description of scenario</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6291881" w14:textId="77777777"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Exposed group</w:t>
            </w:r>
          </w:p>
          <w:p w14:paraId="519DF90F" w14:textId="77777777"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Cs/>
                <w:color w:val="000000"/>
                <w:sz w:val="16"/>
                <w:szCs w:val="16"/>
                <w:lang w:eastAsia="en-GB"/>
              </w:rPr>
              <w:t>(e.g. professionals, non-professionals, bystanders)</w:t>
            </w:r>
          </w:p>
        </w:tc>
      </w:tr>
      <w:tr w:rsidR="00CF59EF" w:rsidRPr="009E1039" w14:paraId="0610B5AB"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BD0EB6A" w14:textId="77777777" w:rsidR="00CF59EF" w:rsidRPr="009E1039" w:rsidRDefault="000B5D37">
            <w:pPr>
              <w:keepNext/>
              <w:rPr>
                <w:rFonts w:eastAsia="Calibri"/>
                <w:sz w:val="16"/>
                <w:szCs w:val="16"/>
              </w:rPr>
            </w:pPr>
            <w:r w:rsidRPr="009E1039">
              <w:rPr>
                <w:rFonts w:eastAsia="Calibri"/>
                <w:sz w:val="16"/>
                <w:szCs w:val="16"/>
              </w:rPr>
              <w:t>1.</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8E41ECC"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Mixing and loading (formulation of </w:t>
            </w:r>
            <w:proofErr w:type="spellStart"/>
            <w:r w:rsidRPr="009E1039">
              <w:rPr>
                <w:rFonts w:eastAsia="Calibri"/>
                <w:color w:val="000000"/>
                <w:sz w:val="16"/>
                <w:szCs w:val="16"/>
                <w:lang w:eastAsia="en-GB"/>
              </w:rPr>
              <w:t>Kalaguard</w:t>
            </w:r>
            <w:proofErr w:type="spellEnd"/>
            <w:r w:rsidRPr="009E1039">
              <w:rPr>
                <w:rFonts w:eastAsia="Calibri"/>
                <w:color w:val="000000"/>
                <w:sz w:val="16"/>
                <w:szCs w:val="16"/>
                <w:lang w:eastAsia="en-GB"/>
              </w:rPr>
              <w:t>® SB into treated articles)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27E310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An industrial user adds the product to treated articles to be preserved, to the maximal concentration of 2.5% (expressed as benzoic acid), using either an automated dosing process or manual dosing.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E2CC1BA"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Industrial </w:t>
            </w:r>
          </w:p>
        </w:tc>
      </w:tr>
      <w:tr w:rsidR="00CF59EF" w:rsidRPr="009E1039" w14:paraId="26355A19"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A162455" w14:textId="77777777" w:rsidR="00CF59EF" w:rsidRPr="009E1039" w:rsidRDefault="000B5D37">
            <w:pPr>
              <w:keepNext/>
              <w:rPr>
                <w:rFonts w:eastAsia="Calibri"/>
                <w:sz w:val="16"/>
                <w:szCs w:val="16"/>
              </w:rPr>
            </w:pPr>
            <w:r w:rsidRPr="009E1039">
              <w:rPr>
                <w:rFonts w:eastAsia="Calibri"/>
                <w:sz w:val="16"/>
                <w:szCs w:val="16"/>
              </w:rPr>
              <w:t>2</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E7CA818"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laundry detergent liquids preserved with the product by professionals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F498B0B"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professional launderer loads a laundry detergent liquid preserved with the product into the washing machine 20 times per day.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367F52B"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Professional </w:t>
            </w:r>
          </w:p>
        </w:tc>
      </w:tr>
      <w:tr w:rsidR="00CF59EF" w:rsidRPr="009E1039" w14:paraId="47C7B6F6"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7CE4500" w14:textId="77777777" w:rsidR="00CF59EF" w:rsidRPr="009E1039" w:rsidRDefault="000B5D37">
            <w:pPr>
              <w:keepNext/>
              <w:rPr>
                <w:rFonts w:eastAsia="Calibri"/>
                <w:sz w:val="16"/>
                <w:szCs w:val="16"/>
              </w:rPr>
            </w:pPr>
            <w:r w:rsidRPr="009E1039">
              <w:rPr>
                <w:rFonts w:eastAsia="Calibri"/>
                <w:sz w:val="16"/>
                <w:szCs w:val="16"/>
              </w:rPr>
              <w:t>3</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39FB9F"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Use of floor cleaner liquids preserved with the product for </w:t>
            </w:r>
            <w:r w:rsidR="007F25FD" w:rsidRPr="009E1039">
              <w:rPr>
                <w:rFonts w:eastAsia="Calibri"/>
                <w:color w:val="000000"/>
                <w:sz w:val="16"/>
                <w:szCs w:val="16"/>
                <w:lang w:eastAsia="en-GB"/>
              </w:rPr>
              <w:t>mopping</w:t>
            </w:r>
            <w:r w:rsidRPr="009E1039">
              <w:rPr>
                <w:rFonts w:eastAsia="Calibri"/>
                <w:color w:val="000000"/>
                <w:sz w:val="16"/>
                <w:szCs w:val="16"/>
                <w:lang w:eastAsia="en-GB"/>
              </w:rPr>
              <w:t xml:space="preserve"> the floor with a mop and a wringer bucket by professional users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E76EED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professional cleaner uses a floor cleaner liquid diluted in water to mop the floor with a mop and a wringer bucket for 110 minutes per day.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3B45257"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14:paraId="34D15089"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3C2CFA9" w14:textId="77777777" w:rsidR="00CF59EF" w:rsidRPr="009E1039" w:rsidRDefault="000B5D37">
            <w:pPr>
              <w:keepNext/>
              <w:rPr>
                <w:rFonts w:eastAsia="Calibri"/>
                <w:sz w:val="16"/>
                <w:szCs w:val="16"/>
              </w:rPr>
            </w:pPr>
            <w:r w:rsidRPr="009E1039">
              <w:rPr>
                <w:rFonts w:eastAsia="Calibri"/>
                <w:sz w:val="16"/>
                <w:szCs w:val="16"/>
              </w:rPr>
              <w:t>4</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3A56D7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all-purpose cleaner liquids preserved with the product for surface wiping by professional users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C667894"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cleaner uses an all-purpose cleaner liquid to wipe surfaces for 220 minutes per day.</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22C9EB4"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14:paraId="4BAC3B44"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D0B5609" w14:textId="77777777" w:rsidR="00CF59EF" w:rsidRPr="009E1039" w:rsidRDefault="000B5D37">
            <w:pPr>
              <w:keepNext/>
              <w:rPr>
                <w:rFonts w:eastAsia="Calibri"/>
                <w:sz w:val="16"/>
                <w:szCs w:val="16"/>
              </w:rPr>
            </w:pPr>
            <w:r w:rsidRPr="009E1039">
              <w:rPr>
                <w:rFonts w:eastAsia="Calibri"/>
                <w:sz w:val="16"/>
                <w:szCs w:val="16"/>
              </w:rPr>
              <w:t>5</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6F06EF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Surface cleaning by professional users using hand-held trigger cleaning spray preserved with the product</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0DCB499"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user uses a hand-held trigger spray to clean surfaces for 30 minutes</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E090907"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14:paraId="2EE77EE6"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96A84DC" w14:textId="77777777" w:rsidR="00CF59EF" w:rsidRPr="009E1039" w:rsidRDefault="000B5D37">
            <w:pPr>
              <w:keepNext/>
              <w:rPr>
                <w:rFonts w:eastAsia="Calibri"/>
                <w:sz w:val="16"/>
                <w:szCs w:val="16"/>
              </w:rPr>
            </w:pPr>
            <w:r w:rsidRPr="009E1039">
              <w:rPr>
                <w:rFonts w:eastAsia="Calibri"/>
                <w:sz w:val="16"/>
                <w:szCs w:val="16"/>
              </w:rPr>
              <w:t>6</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677A7A3"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dishwashing liquids preserved with the product for cleaning dishes manually by professional users in the catering industry</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7670F8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dishwasher uses a dishwashing liquid to wash dishes for 360 minutes per day</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7CA81E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14:paraId="2AD8F85F"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1FC05B7" w14:textId="77777777" w:rsidR="00CF59EF" w:rsidRPr="009E1039" w:rsidRDefault="000B5D37">
            <w:pPr>
              <w:keepNext/>
              <w:rPr>
                <w:rFonts w:eastAsia="Calibri"/>
                <w:sz w:val="16"/>
                <w:szCs w:val="16"/>
              </w:rPr>
            </w:pPr>
            <w:r w:rsidRPr="009E1039">
              <w:rPr>
                <w:rFonts w:eastAsia="Calibri"/>
                <w:sz w:val="16"/>
                <w:szCs w:val="16"/>
              </w:rPr>
              <w:t>7</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C73EDE2"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dishwashing liquids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679DDFB"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consumer uses a hand dishwashing liquid preserved with the product to do the dishes daily 3 times a day for 16 minutes.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C45BFB9"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14:paraId="6972A85C"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0BD1805" w14:textId="77777777" w:rsidR="00CF59EF" w:rsidRPr="009E1039" w:rsidRDefault="000B5D37">
            <w:pPr>
              <w:keepNext/>
              <w:rPr>
                <w:rFonts w:eastAsia="Calibri"/>
                <w:sz w:val="16"/>
                <w:szCs w:val="16"/>
              </w:rPr>
            </w:pPr>
            <w:r w:rsidRPr="009E1039">
              <w:rPr>
                <w:rFonts w:eastAsia="Calibri"/>
                <w:sz w:val="16"/>
                <w:szCs w:val="16"/>
              </w:rPr>
              <w:t>8</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14F6AE8"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laundry detergent liquids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EC5201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consumer uses a laundry detergent preserved with the product to do the hand-wash laundry once daily.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B6E16F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14:paraId="4A9850A7"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EB1D3F2" w14:textId="77777777" w:rsidR="00CF59EF" w:rsidRPr="009E1039" w:rsidRDefault="000B5D37">
            <w:pPr>
              <w:keepNext/>
              <w:rPr>
                <w:rFonts w:eastAsia="Calibri"/>
                <w:sz w:val="16"/>
                <w:szCs w:val="16"/>
              </w:rPr>
            </w:pPr>
            <w:r w:rsidRPr="009E1039">
              <w:rPr>
                <w:rFonts w:eastAsia="Calibri"/>
                <w:sz w:val="16"/>
                <w:szCs w:val="16"/>
              </w:rPr>
              <w:t>9</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71CD4CA"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all-purpose cleaners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81C162F"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consumer uses the liquid cleaner to clean 10 m</w:t>
            </w:r>
            <w:r w:rsidRPr="009E1039">
              <w:rPr>
                <w:rFonts w:eastAsia="Calibri"/>
                <w:color w:val="000000"/>
                <w:sz w:val="16"/>
                <w:szCs w:val="16"/>
                <w:vertAlign w:val="superscript"/>
                <w:lang w:eastAsia="en-GB"/>
              </w:rPr>
              <w:t>2</w:t>
            </w:r>
            <w:r w:rsidRPr="009E1039">
              <w:rPr>
                <w:rFonts w:eastAsia="Calibri"/>
                <w:color w:val="000000"/>
                <w:sz w:val="16"/>
                <w:szCs w:val="16"/>
                <w:lang w:eastAsia="en-GB"/>
              </w:rPr>
              <w:t xml:space="preserve"> of furniture such as tables and cupboards in the living room.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88BE9E2"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14:paraId="4BF61F76"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05AF06E" w14:textId="77777777" w:rsidR="00CF59EF" w:rsidRPr="009E1039" w:rsidRDefault="000B5D37">
            <w:pPr>
              <w:keepNext/>
              <w:rPr>
                <w:rFonts w:eastAsia="Calibri"/>
                <w:sz w:val="16"/>
                <w:szCs w:val="16"/>
              </w:rPr>
            </w:pPr>
            <w:r w:rsidRPr="009E1039">
              <w:rPr>
                <w:rFonts w:eastAsia="Calibri"/>
                <w:sz w:val="16"/>
                <w:szCs w:val="16"/>
              </w:rPr>
              <w:t>10</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BC69D07"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the product in laundered clothing - adults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D82F30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An adult consumer is exposed to the residues of the product in laundered clothes via contact with skin</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3B32DF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CF59EF" w:rsidRPr="009E1039" w14:paraId="6E90078C"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C21D273" w14:textId="77777777" w:rsidR="00CF59EF" w:rsidRPr="009E1039" w:rsidRDefault="000B5D37">
            <w:pPr>
              <w:keepNext/>
              <w:rPr>
                <w:rFonts w:eastAsia="Calibri"/>
                <w:sz w:val="16"/>
                <w:szCs w:val="16"/>
              </w:rPr>
            </w:pPr>
            <w:r w:rsidRPr="009E1039">
              <w:rPr>
                <w:rFonts w:eastAsia="Calibri"/>
                <w:sz w:val="16"/>
                <w:szCs w:val="16"/>
              </w:rPr>
              <w:t>11</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89364C9"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the product in laundered clothing - children</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98E5926" w14:textId="77777777" w:rsidR="00CF59EF" w:rsidRPr="009E1039" w:rsidRDefault="000B5D37" w:rsidP="007F25FD">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child is exposed to the residues of the product in laundered clothes via contact with skin</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4FED075"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General public </w:t>
            </w:r>
          </w:p>
        </w:tc>
      </w:tr>
      <w:tr w:rsidR="00CF59EF" w:rsidRPr="009E1039" w14:paraId="1801E5F1"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67E6731" w14:textId="77777777" w:rsidR="00CF59EF" w:rsidRPr="009E1039" w:rsidRDefault="000B5D37">
            <w:pPr>
              <w:keepNext/>
              <w:rPr>
                <w:rFonts w:eastAsia="Calibri"/>
                <w:sz w:val="16"/>
                <w:szCs w:val="16"/>
              </w:rPr>
            </w:pPr>
            <w:r w:rsidRPr="009E1039">
              <w:rPr>
                <w:rFonts w:eastAsia="Calibri"/>
                <w:sz w:val="16"/>
                <w:szCs w:val="16"/>
              </w:rPr>
              <w:t>12</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A499AD7"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dishwashing liquids preserved with the product on washed dinnerware - adults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4C6145A"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An adult consumer is exposed to the residues of the product on the washed dinnerware via oral route.</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E07B043"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General public </w:t>
            </w:r>
          </w:p>
        </w:tc>
      </w:tr>
      <w:tr w:rsidR="00CF59EF" w:rsidRPr="009E1039" w14:paraId="5ACF1C6A"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BDEFBBC" w14:textId="77777777" w:rsidR="00CF59EF" w:rsidRPr="009E1039" w:rsidRDefault="000B5D37">
            <w:pPr>
              <w:keepNext/>
              <w:rPr>
                <w:rFonts w:eastAsia="Calibri"/>
                <w:sz w:val="16"/>
                <w:szCs w:val="16"/>
              </w:rPr>
            </w:pPr>
            <w:r w:rsidRPr="009E1039">
              <w:rPr>
                <w:rFonts w:eastAsia="Calibri"/>
                <w:sz w:val="16"/>
                <w:szCs w:val="16"/>
              </w:rPr>
              <w:t>13</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46C2314"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dishwashing liquids preserved with the product on washed dinnerware - children</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38A908E"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child is exposed to the residues of the product on the washed dinnerware via oral route.</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5D86CB5"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CF59EF" w:rsidRPr="009E1039" w14:paraId="19A4623D"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6820558" w14:textId="77777777" w:rsidR="00CF59EF" w:rsidRPr="009E1039" w:rsidRDefault="000B5D37">
            <w:pPr>
              <w:keepNext/>
              <w:rPr>
                <w:rFonts w:eastAsia="Calibri"/>
                <w:sz w:val="16"/>
                <w:szCs w:val="16"/>
              </w:rPr>
            </w:pPr>
            <w:r w:rsidRPr="009E1039">
              <w:rPr>
                <w:rFonts w:eastAsia="Calibri"/>
                <w:sz w:val="16"/>
                <w:szCs w:val="16"/>
              </w:rPr>
              <w:lastRenderedPageBreak/>
              <w:t>14</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513DDF4"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in food due to food contact with cleaned surfaces (e.g. kitchen tops)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636C370"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consumer is exposed via oral route to the residues of the product transferred into food from cleaned surfaces</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DF48BCF"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FB0F0E" w:rsidRPr="009E1039" w14:paraId="1AC0FF1A" w14:textId="77777777">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2597010" w14:textId="77777777" w:rsidR="00FB0F0E" w:rsidRPr="009E1039" w:rsidRDefault="00FB0F0E">
            <w:pPr>
              <w:keepNext/>
              <w:rPr>
                <w:rFonts w:eastAsia="Calibri"/>
                <w:sz w:val="16"/>
                <w:szCs w:val="16"/>
              </w:rPr>
            </w:pPr>
            <w:r>
              <w:rPr>
                <w:rFonts w:eastAsia="Calibri"/>
                <w:sz w:val="16"/>
                <w:szCs w:val="16"/>
              </w:rPr>
              <w:t xml:space="preserve">15 </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C2CEE9A" w14:textId="77777777" w:rsidR="00FB0F0E" w:rsidRPr="009E1039" w:rsidRDefault="00B91223" w:rsidP="00B91223">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E</w:t>
            </w:r>
            <w:r w:rsidR="00FB0F0E" w:rsidRPr="00FB0F0E">
              <w:rPr>
                <w:rFonts w:eastAsia="Calibri"/>
                <w:color w:val="000000"/>
                <w:sz w:val="16"/>
                <w:szCs w:val="16"/>
                <w:lang w:eastAsia="en-GB"/>
              </w:rPr>
              <w:t xml:space="preserve">xposure of toddlers </w:t>
            </w:r>
            <w:r>
              <w:rPr>
                <w:rFonts w:eastAsia="Calibri"/>
                <w:color w:val="000000"/>
                <w:sz w:val="16"/>
                <w:szCs w:val="16"/>
                <w:lang w:eastAsia="en-GB"/>
              </w:rPr>
              <w:t>to residues</w:t>
            </w:r>
            <w:r w:rsidR="00FB0F0E" w:rsidRPr="00FB0F0E">
              <w:rPr>
                <w:rFonts w:eastAsia="Calibri"/>
                <w:color w:val="000000"/>
                <w:sz w:val="16"/>
                <w:szCs w:val="16"/>
                <w:lang w:eastAsia="en-GB"/>
              </w:rPr>
              <w:t xml:space="preserve"> of all-purpose cleaners </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2CA6D26" w14:textId="77777777" w:rsidR="00FB0F0E" w:rsidRPr="009E1039" w:rsidRDefault="00FB0F0E" w:rsidP="00B91223">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A </w:t>
            </w:r>
            <w:r w:rsidRPr="00FB0F0E">
              <w:rPr>
                <w:rFonts w:eastAsia="Calibri"/>
                <w:color w:val="000000"/>
                <w:sz w:val="16"/>
                <w:szCs w:val="16"/>
                <w:lang w:eastAsia="en-GB"/>
              </w:rPr>
              <w:t xml:space="preserve">secondary oral (hand-to-mouth) and dermal exposure of toddlers </w:t>
            </w:r>
            <w:r w:rsidR="00B91223" w:rsidRPr="009E1039">
              <w:rPr>
                <w:rFonts w:eastAsia="Calibri"/>
                <w:color w:val="000000"/>
                <w:sz w:val="16"/>
                <w:szCs w:val="16"/>
                <w:lang w:eastAsia="en-GB"/>
              </w:rPr>
              <w:t>from cleaned surfaces</w:t>
            </w:r>
            <w:r w:rsidR="00B91223" w:rsidRPr="00FB0F0E">
              <w:rPr>
                <w:rFonts w:eastAsia="Calibri"/>
                <w:color w:val="000000"/>
                <w:sz w:val="16"/>
                <w:szCs w:val="16"/>
                <w:lang w:eastAsia="en-GB"/>
              </w:rPr>
              <w:t xml:space="preserve"> </w:t>
            </w:r>
            <w:r w:rsidRPr="00FB0F0E">
              <w:rPr>
                <w:rFonts w:eastAsia="Calibri"/>
                <w:color w:val="000000"/>
                <w:sz w:val="16"/>
                <w:szCs w:val="16"/>
                <w:lang w:eastAsia="en-GB"/>
              </w:rPr>
              <w:t>concerning the use of all-purpose cleaners preserved with the biocidal product</w:t>
            </w:r>
            <w:r w:rsidR="00B91223">
              <w:rPr>
                <w:rFonts w:eastAsia="Calibri"/>
                <w:color w:val="000000"/>
                <w:sz w:val="16"/>
                <w:szCs w:val="16"/>
                <w:lang w:eastAsia="en-GB"/>
              </w:rPr>
              <w:t xml:space="preserve">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ACA3786" w14:textId="77777777" w:rsidR="00FB0F0E" w:rsidRPr="009E1039" w:rsidRDefault="00FB0F0E">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General public</w:t>
            </w:r>
          </w:p>
        </w:tc>
      </w:tr>
    </w:tbl>
    <w:p w14:paraId="79073FBD" w14:textId="77777777" w:rsidR="00CF59EF" w:rsidRDefault="00CF59EF">
      <w:pPr>
        <w:spacing w:line="260" w:lineRule="atLeast"/>
        <w:rPr>
          <w:rFonts w:eastAsia="Calibri"/>
          <w:lang w:eastAsia="en-US"/>
        </w:rPr>
      </w:pPr>
    </w:p>
    <w:p w14:paraId="262537D0" w14:textId="77777777" w:rsidR="00CF59EF" w:rsidRDefault="000B5D37">
      <w:pPr>
        <w:spacing w:line="260" w:lineRule="atLeast"/>
        <w:rPr>
          <w:rFonts w:eastAsia="Calibri"/>
          <w:lang w:eastAsia="en-US"/>
        </w:rPr>
      </w:pPr>
      <w:r>
        <w:rPr>
          <w:rFonts w:eastAsia="Calibri"/>
          <w:lang w:eastAsia="en-US"/>
        </w:rPr>
        <w:t xml:space="preserve">It should be noted that, although this list is not necessarily considered to be comprehensive, as other (secondary) exposure scenarios can be imagined (e.g. the use of spot removers), the scenarios reported above are considered to be representative of overall use of detergents and to cover the most realistic sources of exposure which are expected to occur on a daily basis.  </w:t>
      </w:r>
    </w:p>
    <w:p w14:paraId="7CDAEDAB" w14:textId="77777777" w:rsidR="00CF59EF" w:rsidRDefault="00CF59EF">
      <w:pPr>
        <w:spacing w:line="260" w:lineRule="atLeast"/>
        <w:rPr>
          <w:rFonts w:eastAsia="Calibri"/>
          <w:lang w:eastAsia="en-US"/>
        </w:rPr>
      </w:pPr>
    </w:p>
    <w:p w14:paraId="75DCA16B" w14:textId="77777777" w:rsidR="00CF59EF" w:rsidRDefault="000B5D37">
      <w:pPr>
        <w:rPr>
          <w:rFonts w:eastAsia="Calibri"/>
          <w:b/>
          <w:i/>
          <w:sz w:val="22"/>
          <w:szCs w:val="22"/>
          <w:lang w:eastAsia="en-US"/>
        </w:rPr>
      </w:pPr>
      <w:bookmarkStart w:id="1491" w:name="_Toc403472766"/>
      <w:bookmarkStart w:id="1492" w:name="_Toc389729064"/>
      <w:bookmarkEnd w:id="1491"/>
      <w:bookmarkEnd w:id="1492"/>
      <w:r>
        <w:rPr>
          <w:rFonts w:eastAsia="Calibri"/>
          <w:b/>
          <w:i/>
          <w:sz w:val="22"/>
          <w:szCs w:val="22"/>
          <w:lang w:eastAsia="en-US"/>
        </w:rPr>
        <w:t>Industrial exposure</w:t>
      </w:r>
    </w:p>
    <w:p w14:paraId="2C298015" w14:textId="77777777" w:rsidR="00CF59EF" w:rsidRDefault="00CF59EF">
      <w:pPr>
        <w:spacing w:line="260" w:lineRule="atLeast"/>
        <w:rPr>
          <w:rFonts w:eastAsia="Calibri"/>
          <w:lang w:eastAsia="en-US"/>
        </w:rPr>
      </w:pPr>
    </w:p>
    <w:p w14:paraId="4F2362FF" w14:textId="77777777" w:rsidR="00CF59EF" w:rsidRDefault="000B5D37">
      <w:pPr>
        <w:rPr>
          <w:rFonts w:eastAsia="Calibri"/>
          <w:i/>
          <w:sz w:val="22"/>
          <w:szCs w:val="22"/>
          <w:u w:val="single"/>
          <w:lang w:eastAsia="en-US"/>
        </w:rPr>
      </w:pPr>
      <w:bookmarkStart w:id="1493" w:name="_Toc389729065"/>
      <w:r>
        <w:rPr>
          <w:rFonts w:eastAsia="Calibri"/>
          <w:i/>
          <w:sz w:val="22"/>
          <w:szCs w:val="22"/>
          <w:u w:val="single"/>
          <w:lang w:eastAsia="en-US"/>
        </w:rPr>
        <w:t xml:space="preserve">Scenario </w:t>
      </w:r>
      <w:bookmarkEnd w:id="1493"/>
      <w:r>
        <w:rPr>
          <w:rFonts w:eastAsia="Calibri"/>
          <w:i/>
          <w:sz w:val="22"/>
          <w:szCs w:val="22"/>
          <w:u w:val="single"/>
          <w:lang w:eastAsia="en-US"/>
        </w:rPr>
        <w:t xml:space="preserve">1: Mixing and loading (formulation of </w:t>
      </w:r>
      <w:proofErr w:type="spellStart"/>
      <w:r>
        <w:rPr>
          <w:rFonts w:eastAsia="Calibri"/>
          <w:i/>
          <w:sz w:val="22"/>
          <w:szCs w:val="22"/>
          <w:u w:val="single"/>
          <w:lang w:eastAsia="en-US"/>
        </w:rPr>
        <w:t>Kalaguard</w:t>
      </w:r>
      <w:proofErr w:type="spellEnd"/>
      <w:r>
        <w:rPr>
          <w:rFonts w:eastAsia="Calibri"/>
          <w:i/>
          <w:sz w:val="22"/>
          <w:szCs w:val="22"/>
          <w:u w:val="single"/>
          <w:lang w:eastAsia="en-US"/>
        </w:rPr>
        <w:t>® SB into treated articles)</w:t>
      </w:r>
    </w:p>
    <w:p w14:paraId="1B99A169" w14:textId="77777777"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67"/>
        <w:gridCol w:w="4281"/>
        <w:gridCol w:w="3057"/>
      </w:tblGrid>
      <w:tr w:rsidR="00CF59EF" w14:paraId="68156BE4" w14:textId="77777777" w:rsidTr="003C13EF">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6FD20BA3" w14:textId="77777777" w:rsidR="00CF59EF" w:rsidRDefault="000B5D37">
            <w:pPr>
              <w:spacing w:line="260" w:lineRule="atLeast"/>
              <w:rPr>
                <w:rFonts w:eastAsia="Calibri"/>
                <w:b/>
                <w:lang w:eastAsia="en-US"/>
              </w:rPr>
            </w:pPr>
            <w:r>
              <w:rPr>
                <w:rFonts w:eastAsia="Calibri"/>
                <w:b/>
                <w:lang w:eastAsia="en-US"/>
              </w:rPr>
              <w:t>Description of Scenario 1</w:t>
            </w:r>
          </w:p>
        </w:tc>
      </w:tr>
      <w:tr w:rsidR="00CF59EF" w14:paraId="5699C6A6" w14:textId="77777777" w:rsidTr="003C13EF">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8D8F773" w14:textId="77777777" w:rsidR="00CF59EF" w:rsidRDefault="000B5D37">
            <w:pPr>
              <w:spacing w:line="260" w:lineRule="atLeast"/>
              <w:jc w:val="both"/>
              <w:rPr>
                <w:rFonts w:eastAsia="Calibri"/>
                <w:lang w:eastAsia="en-US"/>
              </w:rPr>
            </w:pPr>
            <w:r>
              <w:rPr>
                <w:rFonts w:eastAsia="Calibri"/>
                <w:lang w:eastAsia="en-US"/>
              </w:rPr>
              <w:t>An industrial user adds solid sodium benzoate to the articles to be preserved to generate a maximal concentration of 2.5% by either automated or manual dosing</w:t>
            </w:r>
          </w:p>
        </w:tc>
      </w:tr>
      <w:tr w:rsidR="00CF59EF" w14:paraId="78074D9C" w14:textId="77777777" w:rsidTr="003C13EF">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466C045"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4EAFB78"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5BE13B8" w14:textId="77777777" w:rsidR="00CF59EF" w:rsidRDefault="000B5D37">
            <w:pPr>
              <w:spacing w:line="260" w:lineRule="atLeast"/>
              <w:rPr>
                <w:rFonts w:eastAsia="Calibri"/>
                <w:lang w:eastAsia="en-US"/>
              </w:rPr>
            </w:pPr>
            <w:r>
              <w:rPr>
                <w:rFonts w:eastAsia="Calibri"/>
                <w:lang w:eastAsia="en-US"/>
              </w:rPr>
              <w:t>Value</w:t>
            </w:r>
          </w:p>
        </w:tc>
      </w:tr>
      <w:tr w:rsidR="00E143E7" w14:paraId="487C16CC" w14:textId="77777777" w:rsidTr="00132530">
        <w:trPr>
          <w:trHeight w:val="570"/>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4B395CB9" w14:textId="77777777" w:rsidR="00E143E7" w:rsidRDefault="00E143E7">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4" w:space="0" w:color="auto"/>
              <w:right w:val="single" w:sz="6" w:space="0" w:color="00000A"/>
            </w:tcBorders>
            <w:shd w:val="clear" w:color="auto" w:fill="auto"/>
            <w:tcMar>
              <w:left w:w="69" w:type="dxa"/>
            </w:tcMar>
          </w:tcPr>
          <w:p w14:paraId="72A6F334" w14:textId="77777777" w:rsidR="00E143E7" w:rsidRDefault="00E143E7">
            <w:pPr>
              <w:spacing w:line="260" w:lineRule="atLeast"/>
              <w:rPr>
                <w:rFonts w:eastAsia="Calibri"/>
                <w:lang w:eastAsia="en-US"/>
              </w:rPr>
            </w:pPr>
            <w:r>
              <w:rPr>
                <w:rFonts w:eastAsia="Calibri"/>
                <w:lang w:eastAsia="en-US"/>
              </w:rPr>
              <w:t>Exposure to hands</w:t>
            </w:r>
          </w:p>
          <w:p w14:paraId="09CD1578" w14:textId="77777777" w:rsidR="00E143E7" w:rsidRDefault="00E143E7">
            <w:pPr>
              <w:spacing w:line="260" w:lineRule="atLeast"/>
              <w:rPr>
                <w:rFonts w:eastAsia="Calibri"/>
                <w:lang w:eastAsia="en-US"/>
              </w:rPr>
            </w:pPr>
          </w:p>
        </w:tc>
        <w:tc>
          <w:tcPr>
            <w:tcW w:w="3111" w:type="dxa"/>
            <w:tcBorders>
              <w:top w:val="single" w:sz="6" w:space="0" w:color="00000A"/>
              <w:left w:val="single" w:sz="6" w:space="0" w:color="00000A"/>
              <w:bottom w:val="single" w:sz="4" w:space="0" w:color="auto"/>
              <w:right w:val="single" w:sz="6" w:space="0" w:color="00000A"/>
            </w:tcBorders>
            <w:shd w:val="clear" w:color="auto" w:fill="auto"/>
            <w:tcMar>
              <w:left w:w="69" w:type="dxa"/>
            </w:tcMar>
          </w:tcPr>
          <w:p w14:paraId="1BBD4E93" w14:textId="77777777" w:rsidR="00E143E7" w:rsidRDefault="00E143E7" w:rsidP="00E143E7">
            <w:pPr>
              <w:spacing w:line="260" w:lineRule="atLeast"/>
              <w:rPr>
                <w:rFonts w:eastAsia="Calibri"/>
                <w:lang w:eastAsia="en-US"/>
              </w:rPr>
            </w:pPr>
            <w:r w:rsidRPr="00EB287D">
              <w:rPr>
                <w:rFonts w:eastAsia="Calibri"/>
                <w:lang w:val="en-US" w:eastAsia="en-US"/>
              </w:rPr>
              <w:t>305 mg/min (mixing and Loading model 7, powder)</w:t>
            </w:r>
          </w:p>
        </w:tc>
      </w:tr>
      <w:tr w:rsidR="00E143E7" w14:paraId="68AB138A" w14:textId="77777777"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14:paraId="5B836F31" w14:textId="77777777"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5C4D97E5" w14:textId="77777777" w:rsidR="00E143E7" w:rsidRDefault="00E143E7" w:rsidP="00E143E7">
            <w:pPr>
              <w:spacing w:line="260" w:lineRule="atLeast"/>
              <w:rPr>
                <w:rFonts w:eastAsia="Calibri"/>
                <w:lang w:eastAsia="en-US"/>
              </w:rPr>
            </w:pPr>
            <w:r>
              <w:rPr>
                <w:rFonts w:eastAsia="Calibri"/>
                <w:lang w:eastAsia="en-US"/>
              </w:rPr>
              <w:t xml:space="preserve">Respiratory exposure </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27C91804" w14:textId="77777777" w:rsidR="00E143E7" w:rsidRPr="00EB287D" w:rsidDel="00E143E7" w:rsidRDefault="00E143E7" w:rsidP="00E143E7">
            <w:pPr>
              <w:spacing w:line="260" w:lineRule="atLeast"/>
              <w:rPr>
                <w:rFonts w:eastAsia="Calibri"/>
                <w:lang w:val="en-US" w:eastAsia="en-US"/>
              </w:rPr>
            </w:pPr>
            <w:r w:rsidRPr="00EB287D">
              <w:rPr>
                <w:lang w:val="en-US"/>
              </w:rPr>
              <w:t>7.2 mg/m</w:t>
            </w:r>
            <w:r w:rsidRPr="00EB287D">
              <w:rPr>
                <w:vertAlign w:val="superscript"/>
                <w:lang w:val="en-US"/>
              </w:rPr>
              <w:t xml:space="preserve">3 </w:t>
            </w:r>
            <w:r w:rsidRPr="00EB287D">
              <w:rPr>
                <w:lang w:val="en-US"/>
              </w:rPr>
              <w:t>(mixing and loading model 7, powder)</w:t>
            </w:r>
          </w:p>
        </w:tc>
      </w:tr>
      <w:tr w:rsidR="00E143E7" w14:paraId="543323F5" w14:textId="77777777" w:rsidTr="00132530">
        <w:trPr>
          <w:trHeight w:val="360"/>
          <w:tblHeader/>
        </w:trPr>
        <w:tc>
          <w:tcPr>
            <w:tcW w:w="1789" w:type="dxa"/>
            <w:vMerge/>
            <w:tcBorders>
              <w:left w:val="single" w:sz="6" w:space="0" w:color="00000A"/>
              <w:right w:val="single" w:sz="6" w:space="0" w:color="00000A"/>
            </w:tcBorders>
            <w:shd w:val="clear" w:color="auto" w:fill="auto"/>
            <w:tcMar>
              <w:left w:w="69" w:type="dxa"/>
            </w:tcMar>
          </w:tcPr>
          <w:p w14:paraId="061976EB" w14:textId="77777777"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19F3CA6C" w14:textId="77777777" w:rsidR="00E143E7" w:rsidRDefault="00E143E7" w:rsidP="00E143E7">
            <w:pPr>
              <w:spacing w:line="260" w:lineRule="atLeast"/>
              <w:rPr>
                <w:rFonts w:eastAsia="Calibri"/>
                <w:lang w:eastAsia="en-US"/>
              </w:rPr>
            </w:pPr>
            <w:r>
              <w:rPr>
                <w:rFonts w:eastAsia="Calibri"/>
                <w:lang w:eastAsia="en-US"/>
              </w:rPr>
              <w:t>Exposure duration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38A95BCA" w14:textId="77777777" w:rsidR="00E143E7" w:rsidRDefault="00E143E7" w:rsidP="00E143E7">
            <w:pPr>
              <w:spacing w:line="260" w:lineRule="atLeast"/>
              <w:rPr>
                <w:lang w:val="de-AT"/>
              </w:rPr>
            </w:pPr>
            <w:r>
              <w:rPr>
                <w:rFonts w:eastAsia="Calibri"/>
                <w:lang w:val="de-AT" w:eastAsia="en-US"/>
              </w:rPr>
              <w:t xml:space="preserve">10 </w:t>
            </w:r>
            <w:proofErr w:type="spellStart"/>
            <w:r>
              <w:rPr>
                <w:rFonts w:eastAsia="Calibri"/>
                <w:lang w:val="de-AT" w:eastAsia="en-US"/>
              </w:rPr>
              <w:t>minutes</w:t>
            </w:r>
            <w:proofErr w:type="spellEnd"/>
            <w:r w:rsidR="00C13EAF">
              <w:rPr>
                <w:rFonts w:eastAsia="Calibri"/>
                <w:lang w:val="de-AT" w:eastAsia="en-US"/>
              </w:rPr>
              <w:t xml:space="preserve"> x 3 </w:t>
            </w:r>
            <w:proofErr w:type="spellStart"/>
            <w:r w:rsidR="00C13EAF">
              <w:rPr>
                <w:rFonts w:eastAsia="Calibri"/>
                <w:lang w:val="de-AT" w:eastAsia="en-US"/>
              </w:rPr>
              <w:t>times</w:t>
            </w:r>
            <w:proofErr w:type="spellEnd"/>
            <w:r w:rsidR="00C13EAF">
              <w:rPr>
                <w:rFonts w:eastAsia="Calibri"/>
                <w:lang w:val="de-AT" w:eastAsia="en-US"/>
              </w:rPr>
              <w:t xml:space="preserve"> = 30 min</w:t>
            </w:r>
          </w:p>
        </w:tc>
      </w:tr>
      <w:tr w:rsidR="00B038DA" w14:paraId="2542B8AF" w14:textId="77777777"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14:paraId="48F74419" w14:textId="77777777" w:rsidR="00B038DA" w:rsidRDefault="00B038DA">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50FC419B" w14:textId="77777777" w:rsidR="00B038DA" w:rsidRDefault="00B038DA" w:rsidP="00E143E7">
            <w:pPr>
              <w:spacing w:line="260" w:lineRule="atLeast"/>
              <w:rPr>
                <w:rFonts w:eastAsia="Calibri"/>
                <w:lang w:eastAsia="en-US"/>
              </w:rPr>
            </w:pPr>
            <w:r>
              <w:rPr>
                <w:rFonts w:eastAsia="Calibri"/>
                <w:lang w:eastAsia="en-US"/>
              </w:rPr>
              <w:t>Inhalation rate</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786DBEEE" w14:textId="77777777" w:rsidR="00B038DA" w:rsidDel="00EA5E4D" w:rsidRDefault="00B038DA" w:rsidP="00E143E7">
            <w:pPr>
              <w:spacing w:line="260" w:lineRule="atLeast"/>
              <w:rPr>
                <w:rFonts w:eastAsia="Calibri"/>
                <w:lang w:val="de-AT" w:eastAsia="en-US"/>
              </w:rPr>
            </w:pPr>
            <w:r>
              <w:rPr>
                <w:rFonts w:eastAsia="Calibri"/>
                <w:lang w:val="de-AT" w:eastAsia="en-US"/>
              </w:rPr>
              <w:t>1.25 m3/h</w:t>
            </w:r>
          </w:p>
        </w:tc>
      </w:tr>
      <w:tr w:rsidR="00E143E7" w14:paraId="06ED9461" w14:textId="77777777"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14:paraId="0BB3CDBF" w14:textId="77777777"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0BE8C665" w14:textId="77777777" w:rsidR="00E143E7" w:rsidRDefault="00E143E7" w:rsidP="00E143E7">
            <w:pPr>
              <w:spacing w:line="260" w:lineRule="atLeast"/>
              <w:rPr>
                <w:rFonts w:eastAsia="Calibri"/>
                <w:lang w:eastAsia="en-US"/>
              </w:rPr>
            </w:pPr>
            <w:r>
              <w:rPr>
                <w:rFonts w:eastAsia="Calibri"/>
                <w:lang w:eastAsia="en-US"/>
              </w:rPr>
              <w:t>Dermal absorption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7C0FD865" w14:textId="77777777" w:rsidR="00E143E7" w:rsidRDefault="00EA5E4D" w:rsidP="00E143E7">
            <w:pPr>
              <w:spacing w:line="260" w:lineRule="atLeast"/>
              <w:rPr>
                <w:rFonts w:eastAsia="Calibri"/>
                <w:lang w:val="de-AT" w:eastAsia="en-US"/>
              </w:rPr>
            </w:pPr>
            <w:r>
              <w:rPr>
                <w:rFonts w:eastAsia="Calibri"/>
                <w:lang w:val="de-AT" w:eastAsia="en-US"/>
              </w:rPr>
              <w:t>75</w:t>
            </w:r>
            <w:r w:rsidR="00E143E7">
              <w:rPr>
                <w:rFonts w:eastAsia="Calibri"/>
                <w:lang w:val="de-AT" w:eastAsia="en-US"/>
              </w:rPr>
              <w:t>% (</w:t>
            </w:r>
            <w:proofErr w:type="spellStart"/>
            <w:r w:rsidR="00E143E7">
              <w:rPr>
                <w:rFonts w:eastAsia="Calibri"/>
                <w:lang w:val="de-AT" w:eastAsia="en-US"/>
              </w:rPr>
              <w:t>default</w:t>
            </w:r>
            <w:proofErr w:type="spellEnd"/>
            <w:r w:rsidR="00E143E7">
              <w:rPr>
                <w:rFonts w:eastAsia="Calibri"/>
                <w:lang w:val="de-AT" w:eastAsia="en-US"/>
              </w:rPr>
              <w:t>)</w:t>
            </w:r>
          </w:p>
        </w:tc>
      </w:tr>
      <w:tr w:rsidR="00E143E7" w14:paraId="6818B58D" w14:textId="77777777" w:rsidTr="00132530">
        <w:trPr>
          <w:trHeight w:val="345"/>
          <w:tblHeader/>
        </w:trPr>
        <w:tc>
          <w:tcPr>
            <w:tcW w:w="1789" w:type="dxa"/>
            <w:vMerge/>
            <w:tcBorders>
              <w:left w:val="single" w:sz="6" w:space="0" w:color="00000A"/>
              <w:right w:val="single" w:sz="6" w:space="0" w:color="00000A"/>
            </w:tcBorders>
            <w:shd w:val="clear" w:color="auto" w:fill="auto"/>
            <w:tcMar>
              <w:left w:w="69" w:type="dxa"/>
            </w:tcMar>
          </w:tcPr>
          <w:p w14:paraId="6362001D" w14:textId="77777777"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41AB3F30" w14:textId="77777777" w:rsidR="00E143E7" w:rsidRDefault="00E143E7" w:rsidP="00E143E7">
            <w:pPr>
              <w:spacing w:line="260" w:lineRule="atLeast"/>
              <w:rPr>
                <w:rFonts w:eastAsia="Calibri"/>
                <w:lang w:eastAsia="en-US"/>
              </w:rPr>
            </w:pPr>
            <w:r>
              <w:rPr>
                <w:rFonts w:eastAsia="Calibri"/>
                <w:lang w:eastAsia="en-US"/>
              </w:rPr>
              <w:t>Respiratory absorption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14:paraId="61A3E86E" w14:textId="77777777" w:rsidR="00E143E7" w:rsidRDefault="00E143E7" w:rsidP="00E143E7">
            <w:pPr>
              <w:spacing w:line="260" w:lineRule="atLeast"/>
              <w:rPr>
                <w:rFonts w:eastAsia="Calibri"/>
                <w:lang w:val="de-AT" w:eastAsia="en-US"/>
              </w:rPr>
            </w:pPr>
            <w:r>
              <w:rPr>
                <w:rFonts w:eastAsia="Calibri"/>
                <w:lang w:eastAsia="en-US"/>
              </w:rPr>
              <w:t>100% (default)</w:t>
            </w:r>
          </w:p>
        </w:tc>
      </w:tr>
      <w:tr w:rsidR="00E143E7" w14:paraId="11354E09" w14:textId="77777777" w:rsidTr="00132530">
        <w:trPr>
          <w:trHeight w:val="345"/>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16F9CA27" w14:textId="77777777"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6" w:space="0" w:color="00000A"/>
              <w:right w:val="single" w:sz="6" w:space="0" w:color="00000A"/>
            </w:tcBorders>
            <w:shd w:val="clear" w:color="auto" w:fill="auto"/>
            <w:tcMar>
              <w:left w:w="69" w:type="dxa"/>
            </w:tcMar>
          </w:tcPr>
          <w:p w14:paraId="07CCEB2D" w14:textId="77777777" w:rsidR="00E143E7" w:rsidRDefault="00E143E7" w:rsidP="00E143E7">
            <w:pPr>
              <w:spacing w:line="260" w:lineRule="atLeast"/>
              <w:rPr>
                <w:rFonts w:eastAsia="Calibri"/>
                <w:lang w:eastAsia="en-US"/>
              </w:rPr>
            </w:pPr>
            <w:r>
              <w:rPr>
                <w:rFonts w:eastAsia="Calibri"/>
                <w:lang w:eastAsia="en-US"/>
              </w:rPr>
              <w:t>Body weight</w:t>
            </w:r>
          </w:p>
        </w:tc>
        <w:tc>
          <w:tcPr>
            <w:tcW w:w="3111" w:type="dxa"/>
            <w:tcBorders>
              <w:top w:val="single" w:sz="4" w:space="0" w:color="auto"/>
              <w:left w:val="single" w:sz="6" w:space="0" w:color="00000A"/>
              <w:bottom w:val="single" w:sz="6" w:space="0" w:color="00000A"/>
              <w:right w:val="single" w:sz="6" w:space="0" w:color="00000A"/>
            </w:tcBorders>
            <w:shd w:val="clear" w:color="auto" w:fill="auto"/>
            <w:tcMar>
              <w:left w:w="69" w:type="dxa"/>
            </w:tcMar>
          </w:tcPr>
          <w:p w14:paraId="5B66C8E1" w14:textId="77777777" w:rsidR="00E143E7" w:rsidRDefault="00E143E7" w:rsidP="00E143E7">
            <w:pPr>
              <w:spacing w:line="260" w:lineRule="atLeast"/>
              <w:rPr>
                <w:rFonts w:eastAsia="Calibri"/>
                <w:lang w:eastAsia="en-US"/>
              </w:rPr>
            </w:pPr>
            <w:r>
              <w:rPr>
                <w:rFonts w:eastAsia="Calibri"/>
                <w:lang w:eastAsia="en-US"/>
              </w:rPr>
              <w:t>60 kg</w:t>
            </w:r>
          </w:p>
        </w:tc>
      </w:tr>
      <w:tr w:rsidR="00CF59EF" w14:paraId="4D904C7A" w14:textId="77777777" w:rsidTr="003C13EF">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4FF7122" w14:textId="77777777" w:rsidR="00CF59EF" w:rsidRDefault="000B5D37">
            <w:pPr>
              <w:spacing w:line="260" w:lineRule="atLeast"/>
              <w:rPr>
                <w:rFonts w:eastAsia="Calibri"/>
                <w:lang w:eastAsia="en-US"/>
              </w:rPr>
            </w:pPr>
            <w:r>
              <w:rPr>
                <w:rFonts w:eastAsia="Calibri"/>
                <w:lang w:eastAsia="en-US"/>
              </w:rPr>
              <w:t>Tier 2</w:t>
            </w:r>
            <w:r w:rsidR="002730C8">
              <w:rPr>
                <w:rFonts w:eastAsia="Calibri"/>
                <w:lang w:eastAsia="en-US"/>
              </w:rPr>
              <w:t xml:space="preserve"> (gloves)</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6A3F23B" w14:textId="77777777" w:rsidR="00E143E7" w:rsidRDefault="00E143E7" w:rsidP="00E143E7">
            <w:pPr>
              <w:spacing w:line="260" w:lineRule="atLeast"/>
              <w:rPr>
                <w:rFonts w:eastAsia="Calibri"/>
                <w:lang w:eastAsia="en-US"/>
              </w:rPr>
            </w:pPr>
            <w:r>
              <w:rPr>
                <w:rFonts w:eastAsia="Calibri"/>
                <w:lang w:eastAsia="en-US"/>
              </w:rPr>
              <w:t>Exposure to hands (in gloves)</w:t>
            </w:r>
          </w:p>
          <w:p w14:paraId="2A9082D9" w14:textId="77777777" w:rsidR="00CF59EF" w:rsidRDefault="00CF59EF">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4F88844" w14:textId="77777777" w:rsidR="00CF59EF" w:rsidRDefault="00E143E7">
            <w:pPr>
              <w:spacing w:line="260" w:lineRule="atLeast"/>
              <w:rPr>
                <w:rFonts w:eastAsia="Calibri"/>
                <w:lang w:eastAsia="en-US"/>
              </w:rPr>
            </w:pPr>
            <w:r w:rsidRPr="00EB287D">
              <w:rPr>
                <w:rFonts w:eastAsia="Calibri"/>
                <w:lang w:val="en-US" w:eastAsia="en-US"/>
              </w:rPr>
              <w:t>3.05 mg/min (mixing and loading model 7, powder)</w:t>
            </w:r>
          </w:p>
        </w:tc>
      </w:tr>
    </w:tbl>
    <w:p w14:paraId="33D2D1DE" w14:textId="77777777" w:rsidR="00CF59EF" w:rsidRDefault="00CF59EF">
      <w:pPr>
        <w:spacing w:line="260" w:lineRule="atLeast"/>
        <w:rPr>
          <w:rFonts w:eastAsia="Calibri"/>
          <w:iCs/>
          <w:sz w:val="16"/>
          <w:lang w:eastAsia="en-US"/>
        </w:rPr>
      </w:pPr>
    </w:p>
    <w:p w14:paraId="39C9FA8E" w14:textId="77777777" w:rsidR="00CF59EF" w:rsidRDefault="000B5D37">
      <w:pPr>
        <w:rPr>
          <w:rFonts w:eastAsia="Calibri"/>
          <w:b/>
          <w:i/>
          <w:sz w:val="22"/>
          <w:szCs w:val="22"/>
          <w:lang w:eastAsia="en-US"/>
        </w:rPr>
      </w:pPr>
      <w:r>
        <w:rPr>
          <w:rFonts w:eastAsia="Calibri"/>
          <w:b/>
          <w:i/>
          <w:sz w:val="22"/>
          <w:szCs w:val="22"/>
          <w:lang w:eastAsia="en-US"/>
        </w:rPr>
        <w:t>Calculations for Scenario 1</w:t>
      </w:r>
    </w:p>
    <w:p w14:paraId="149DE950" w14:textId="77777777" w:rsidR="00CF59EF" w:rsidRDefault="000B5D37">
      <w:pPr>
        <w:spacing w:line="260" w:lineRule="atLeast"/>
        <w:rPr>
          <w:rFonts w:eastAsia="Calibri"/>
          <w:iCs/>
          <w:lang w:eastAsia="en-US"/>
        </w:rPr>
      </w:pPr>
      <w:r>
        <w:rPr>
          <w:rFonts w:eastAsia="Calibri"/>
          <w:iCs/>
          <w:lang w:eastAsia="en-US"/>
        </w:rPr>
        <w:t xml:space="preserve">An industrial user adds solid sodium benzoate to the articles to be preserved, e.g. dishwashing liquids, laundry products, cleaners, to generate the maximal concentration of 2.5% sodium benzoate (w/w, expressed as benzoic acid) in treated articles. The process occurs by either automated or manual dosing and is considered to take 10 minutes per </w:t>
      </w:r>
      <w:r w:rsidR="00C13EAF">
        <w:rPr>
          <w:rFonts w:eastAsia="Calibri"/>
          <w:iCs/>
          <w:lang w:eastAsia="en-US"/>
        </w:rPr>
        <w:t xml:space="preserve">operation </w:t>
      </w:r>
      <w:r>
        <w:rPr>
          <w:rFonts w:eastAsia="Calibri"/>
          <w:iCs/>
          <w:lang w:eastAsia="en-US"/>
        </w:rPr>
        <w:t>(Recommendation no. 6 of the BPC Ad hoc Working Group on Human Exposure on Methods and models to assess exposure to biocidal products in different product types, v.2, June 2016).</w:t>
      </w:r>
      <w:r w:rsidR="00C13EAF">
        <w:rPr>
          <w:rFonts w:eastAsia="Calibri"/>
          <w:iCs/>
          <w:lang w:eastAsia="en-US"/>
        </w:rPr>
        <w:t xml:space="preserve"> As loading operation may occur several times per day, according to the </w:t>
      </w:r>
      <w:r w:rsidR="00C13EAF">
        <w:rPr>
          <w:rFonts w:eastAsia="Calibri"/>
          <w:iCs/>
          <w:lang w:eastAsia="en-US"/>
        </w:rPr>
        <w:lastRenderedPageBreak/>
        <w:t>use description, exposure duration of 30 min is assumed as the worst case.</w:t>
      </w:r>
      <w:r>
        <w:rPr>
          <w:rFonts w:eastAsia="Calibri"/>
          <w:iCs/>
          <w:lang w:eastAsia="en-US"/>
        </w:rPr>
        <w:t xml:space="preserve"> In accordance with HEEG Opinion 1 on the use of available data and models for the assessment of the exposure of operators during the loading of products into vessels or systems on industrial scale (agreed at TM I 2008), a value of </w:t>
      </w:r>
      <w:r w:rsidR="00E143E7">
        <w:rPr>
          <w:rFonts w:eastAsia="Calibri"/>
          <w:iCs/>
          <w:lang w:eastAsia="en-US"/>
        </w:rPr>
        <w:t xml:space="preserve">305 </w:t>
      </w:r>
      <w:r>
        <w:rPr>
          <w:rFonts w:eastAsia="Calibri"/>
          <w:iCs/>
          <w:lang w:eastAsia="en-US"/>
        </w:rPr>
        <w:t>mg/min for exposure to a powder during loading was applied in absence of PPE. When gloves are used, a value of 3</w:t>
      </w:r>
      <w:r w:rsidR="00577FC7">
        <w:rPr>
          <w:rFonts w:eastAsia="Calibri"/>
          <w:iCs/>
          <w:lang w:eastAsia="en-US"/>
        </w:rPr>
        <w:t>0.8</w:t>
      </w:r>
      <w:r>
        <w:rPr>
          <w:rFonts w:eastAsia="Calibri"/>
          <w:iCs/>
          <w:lang w:eastAsia="en-US"/>
        </w:rPr>
        <w:t xml:space="preserve"> mg/min is used assuming gloves will reduce dermal exposure 10-fold. </w:t>
      </w:r>
    </w:p>
    <w:p w14:paraId="090C5FBB" w14:textId="77777777" w:rsidR="00CF59EF" w:rsidRDefault="00CF59EF">
      <w:pPr>
        <w:spacing w:line="260" w:lineRule="atLeast"/>
        <w:rPr>
          <w:rFonts w:eastAsia="Calibri"/>
          <w:iCs/>
          <w:lang w:eastAsia="en-US"/>
        </w:rPr>
      </w:pPr>
    </w:p>
    <w:p w14:paraId="3AC14F38" w14:textId="77777777" w:rsidR="00CF59EF" w:rsidRDefault="000B5D37">
      <w:pPr>
        <w:spacing w:line="260" w:lineRule="atLeast"/>
        <w:rPr>
          <w:rFonts w:eastAsia="Calibri"/>
          <w:iCs/>
          <w:lang w:eastAsia="en-US"/>
        </w:rPr>
      </w:pPr>
      <w:r>
        <w:rPr>
          <w:rFonts w:eastAsia="Calibri"/>
          <w:iCs/>
          <w:lang w:eastAsia="en-US"/>
        </w:rPr>
        <w:t>The results of the calculations are presented below:</w:t>
      </w:r>
    </w:p>
    <w:p w14:paraId="2508D95C" w14:textId="77777777" w:rsidR="00CF59EF" w:rsidRDefault="00CF59EF">
      <w:pPr>
        <w:spacing w:line="260" w:lineRule="atLeast"/>
        <w:rPr>
          <w:rFonts w:eastAsia="Calibr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14:paraId="6583148B"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8752DF" w14:textId="77777777" w:rsidR="00CF59EF" w:rsidRDefault="000B5D37">
            <w:pPr>
              <w:rPr>
                <w:b/>
              </w:rPr>
            </w:pPr>
            <w:r>
              <w:rPr>
                <w:b/>
              </w:rPr>
              <w:t>Mixing and loading</w:t>
            </w:r>
          </w:p>
        </w:tc>
      </w:tr>
      <w:tr w:rsidR="00CF59EF" w14:paraId="5F3F97BA"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80909" w14:textId="77777777" w:rsidR="00CF59EF" w:rsidRDefault="000B5D37">
            <w:pPr>
              <w:rPr>
                <w:b/>
              </w:rPr>
            </w:pPr>
            <w:r>
              <w:rPr>
                <w:b/>
              </w:rPr>
              <w:t>Tier 1: No PPE</w:t>
            </w:r>
          </w:p>
        </w:tc>
      </w:tr>
      <w:tr w:rsidR="00CF59EF" w14:paraId="6B4FF496"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CA558" w14:textId="77777777" w:rsidR="00CF59EF" w:rsidRDefault="000B5D37">
            <w:pPr>
              <w:rPr>
                <w:b/>
              </w:rPr>
            </w:pPr>
            <w:r>
              <w:rPr>
                <w:b/>
              </w:rPr>
              <w:t xml:space="preserve">Dermal exposure (HEEG Opinion 1, </w:t>
            </w:r>
            <w:proofErr w:type="spellStart"/>
            <w:r>
              <w:rPr>
                <w:b/>
              </w:rPr>
              <w:t>Ispra</w:t>
            </w:r>
            <w:proofErr w:type="spellEnd"/>
            <w:r>
              <w:rPr>
                <w:b/>
              </w:rPr>
              <w:t>, 06/04/2008)</w:t>
            </w:r>
          </w:p>
        </w:tc>
      </w:tr>
      <w:tr w:rsidR="00CF59EF" w14:paraId="4590B8C2"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67139A" w14:textId="77777777" w:rsidR="00CF59EF" w:rsidRDefault="000B5D37">
            <w:r>
              <w:t xml:space="preserve">Exposure rate </w:t>
            </w:r>
            <w:proofErr w:type="spellStart"/>
            <w:r>
              <w:t>b.p.</w:t>
            </w:r>
            <w:proofErr w:type="spellEnd"/>
            <w:r>
              <w:t xml:space="preserve"> on hands (indicative value)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7F78E" w14:textId="77777777" w:rsidR="00CF59EF" w:rsidRDefault="00E143E7">
            <w:r>
              <w:t xml:space="preserve">305 </w:t>
            </w:r>
            <w:r w:rsidR="000B5D37">
              <w:t>mg/min</w:t>
            </w:r>
          </w:p>
        </w:tc>
      </w:tr>
      <w:tr w:rsidR="00CF59EF" w14:paraId="06289137"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CD0D4" w14:textId="77777777"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4337F" w14:textId="77777777" w:rsidR="00CF59EF" w:rsidRDefault="00C13EAF" w:rsidP="00C13EAF">
            <w:pPr>
              <w:rPr>
                <w:lang w:val="en-US"/>
              </w:rPr>
            </w:pPr>
            <w:r>
              <w:rPr>
                <w:lang w:val="en-US"/>
              </w:rPr>
              <w:t>9150</w:t>
            </w:r>
            <w:r w:rsidR="00E143E7">
              <w:rPr>
                <w:lang w:val="en-US"/>
              </w:rPr>
              <w:t xml:space="preserve"> </w:t>
            </w:r>
            <w:r w:rsidR="000B5D37">
              <w:rPr>
                <w:lang w:val="en-US"/>
              </w:rPr>
              <w:t>mg</w:t>
            </w:r>
          </w:p>
        </w:tc>
      </w:tr>
      <w:tr w:rsidR="00CF59EF" w14:paraId="301CD55F"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7AB0B" w14:textId="77777777"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49AA74" w14:textId="77777777" w:rsidR="00CF59EF" w:rsidRDefault="00EA5E4D" w:rsidP="00EA5E4D">
            <w:pPr>
              <w:rPr>
                <w:lang w:val="en-US"/>
              </w:rPr>
            </w:pPr>
            <w:r>
              <w:rPr>
                <w:lang w:val="en-US"/>
              </w:rPr>
              <w:t>114.4</w:t>
            </w:r>
            <w:r w:rsidR="00E143E7">
              <w:rPr>
                <w:lang w:val="en-US"/>
              </w:rPr>
              <w:t xml:space="preserve"> </w:t>
            </w:r>
            <w:r w:rsidR="000B5D37">
              <w:rPr>
                <w:lang w:val="en-US"/>
              </w:rPr>
              <w:t xml:space="preserve">mg/kg </w:t>
            </w:r>
            <w:proofErr w:type="spellStart"/>
            <w:r w:rsidR="000B5D37">
              <w:rPr>
                <w:lang w:val="en-US"/>
              </w:rPr>
              <w:t>bw</w:t>
            </w:r>
            <w:proofErr w:type="spellEnd"/>
            <w:r w:rsidR="000B5D37">
              <w:rPr>
                <w:lang w:val="en-US"/>
              </w:rPr>
              <w:t>/day</w:t>
            </w:r>
          </w:p>
        </w:tc>
      </w:tr>
      <w:tr w:rsidR="00CF59EF" w14:paraId="704B1535"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25DF3" w14:textId="77777777" w:rsidR="00CF59EF" w:rsidRDefault="000B5D37">
            <w:pPr>
              <w:rPr>
                <w:b/>
                <w:lang w:val="en-US"/>
              </w:rPr>
            </w:pPr>
            <w:r>
              <w:rPr>
                <w:b/>
                <w:lang w:val="en-US"/>
              </w:rPr>
              <w:t>Respiratory exposure (Mixing and Loading Model 7)</w:t>
            </w:r>
          </w:p>
        </w:tc>
      </w:tr>
      <w:tr w:rsidR="00CF59EF" w14:paraId="45D582D3"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797B9B" w14:textId="77777777" w:rsidR="00CF59EF" w:rsidRDefault="000B5D37">
            <w:r>
              <w:t>External exposure concentration product</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7ABC5" w14:textId="77777777" w:rsidR="00CF59EF" w:rsidRDefault="000B5D37">
            <w:pPr>
              <w:rPr>
                <w:lang w:val="en-US"/>
              </w:rPr>
            </w:pPr>
            <w:r>
              <w:rPr>
                <w:lang w:val="en-US"/>
              </w:rPr>
              <w:t>7.2 mg/m</w:t>
            </w:r>
            <w:r>
              <w:rPr>
                <w:vertAlign w:val="superscript"/>
                <w:lang w:val="en-US"/>
              </w:rPr>
              <w:t>3</w:t>
            </w:r>
          </w:p>
        </w:tc>
      </w:tr>
      <w:tr w:rsidR="00CF59EF" w14:paraId="50686F98"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8C5D3" w14:textId="77777777" w:rsidR="00CF59EF" w:rsidRDefault="000B5D37">
            <w:pPr>
              <w:rPr>
                <w:b/>
                <w:lang w:val="en-US"/>
              </w:rPr>
            </w:pPr>
            <w:r>
              <w:rPr>
                <w:b/>
                <w:lang w:val="en-US"/>
              </w:rPr>
              <w:t>External 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9FC15" w14:textId="77777777" w:rsidR="00CF59EF" w:rsidRDefault="000B5D37">
            <w:pPr>
              <w:rPr>
                <w:vertAlign w:val="superscript"/>
                <w:lang w:val="en-US"/>
              </w:rPr>
            </w:pPr>
            <w:r>
              <w:rPr>
                <w:lang w:val="en-US"/>
              </w:rPr>
              <w:t>7.2 mg/m</w:t>
            </w:r>
            <w:r>
              <w:rPr>
                <w:vertAlign w:val="superscript"/>
                <w:lang w:val="en-US"/>
              </w:rPr>
              <w:t>3</w:t>
            </w:r>
          </w:p>
        </w:tc>
      </w:tr>
      <w:tr w:rsidR="00CF59EF" w14:paraId="5E312983"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DFC60" w14:textId="77777777"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7C6C4" w14:textId="77777777" w:rsidR="00CF59EF" w:rsidRDefault="000B5D37" w:rsidP="00C13EAF">
            <w:pPr>
              <w:rPr>
                <w:lang w:val="en-US"/>
              </w:rPr>
            </w:pPr>
            <w:r>
              <w:rPr>
                <w:lang w:val="en-US"/>
              </w:rPr>
              <w:t>0.</w:t>
            </w:r>
            <w:r w:rsidR="00C13EAF">
              <w:rPr>
                <w:lang w:val="en-US"/>
              </w:rPr>
              <w:t xml:space="preserve">075 </w:t>
            </w:r>
            <w:r>
              <w:rPr>
                <w:lang w:val="en-US"/>
              </w:rPr>
              <w:t xml:space="preserve">mg/kg </w:t>
            </w:r>
            <w:proofErr w:type="spellStart"/>
            <w:r>
              <w:rPr>
                <w:lang w:val="en-US"/>
              </w:rPr>
              <w:t>bw</w:t>
            </w:r>
            <w:proofErr w:type="spellEnd"/>
            <w:r>
              <w:rPr>
                <w:lang w:val="en-US"/>
              </w:rPr>
              <w:t>/day</w:t>
            </w:r>
          </w:p>
        </w:tc>
      </w:tr>
      <w:tr w:rsidR="00CF59EF" w14:paraId="328AED82"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127E67" w14:textId="77777777"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7F9E8" w14:textId="77777777" w:rsidR="00CF59EF" w:rsidRDefault="002C30D1">
            <w:pPr>
              <w:rPr>
                <w:lang w:val="en-US"/>
              </w:rPr>
            </w:pPr>
            <w:r>
              <w:rPr>
                <w:highlight w:val="yellow"/>
                <w:lang w:val="en-US"/>
              </w:rPr>
              <w:t xml:space="preserve"> </w:t>
            </w:r>
            <w:r w:rsidR="00551EAD" w:rsidRPr="002C30D1">
              <w:rPr>
                <w:highlight w:val="yellow"/>
                <w:lang w:val="en-US"/>
              </w:rPr>
              <w:t>114.4</w:t>
            </w:r>
            <w:r w:rsidR="000B5D37">
              <w:rPr>
                <w:lang w:val="en-US"/>
              </w:rPr>
              <w:t xml:space="preserve"> mg/kg </w:t>
            </w:r>
            <w:proofErr w:type="spellStart"/>
            <w:r w:rsidR="000B5D37">
              <w:rPr>
                <w:lang w:val="en-US"/>
              </w:rPr>
              <w:t>bw</w:t>
            </w:r>
            <w:proofErr w:type="spellEnd"/>
            <w:r w:rsidR="000B5D37">
              <w:rPr>
                <w:lang w:val="en-US"/>
              </w:rPr>
              <w:t>/day</w:t>
            </w:r>
          </w:p>
        </w:tc>
      </w:tr>
    </w:tbl>
    <w:p w14:paraId="16C65EDC" w14:textId="77777777" w:rsidR="00CF59EF" w:rsidRDefault="00CF59EF">
      <w:pPr>
        <w:spacing w:line="260" w:lineRule="atLeast"/>
        <w:rPr>
          <w:rFonts w:eastAsia="Calibri"/>
          <w:iCs/>
          <w:lang w:eastAsia="en-US"/>
        </w:rPr>
      </w:pPr>
    </w:p>
    <w:p w14:paraId="5331CE1A" w14:textId="77777777" w:rsidR="00CF59EF" w:rsidRDefault="00CF59EF">
      <w:pPr>
        <w:spacing w:line="260" w:lineRule="atLeast"/>
        <w:rPr>
          <w:rFonts w:ascii="Times New Roman" w:eastAsia="Calibri" w:hAnsi="Times New Roman"/>
          <w: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14:paraId="348A10C6"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BC8D6B" w14:textId="77777777" w:rsidR="00CF59EF" w:rsidRDefault="000B5D37">
            <w:pPr>
              <w:rPr>
                <w:b/>
              </w:rPr>
            </w:pPr>
            <w:r>
              <w:rPr>
                <w:b/>
              </w:rPr>
              <w:t>Mixing and loading</w:t>
            </w:r>
          </w:p>
        </w:tc>
      </w:tr>
      <w:tr w:rsidR="00CF59EF" w14:paraId="635B48BC"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239AC" w14:textId="77777777" w:rsidR="00CF59EF" w:rsidRDefault="000B5D37">
            <w:pPr>
              <w:rPr>
                <w:b/>
              </w:rPr>
            </w:pPr>
            <w:r>
              <w:rPr>
                <w:b/>
              </w:rPr>
              <w:t>Tier 2: PPE</w:t>
            </w:r>
            <w:r w:rsidR="002730C8">
              <w:rPr>
                <w:b/>
              </w:rPr>
              <w:t xml:space="preserve"> (gloves)</w:t>
            </w:r>
          </w:p>
        </w:tc>
      </w:tr>
      <w:tr w:rsidR="00CF59EF" w14:paraId="30405469"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2388D" w14:textId="77777777" w:rsidR="00CF59EF" w:rsidRDefault="000B5D37">
            <w:pPr>
              <w:rPr>
                <w:b/>
              </w:rPr>
            </w:pPr>
            <w:r>
              <w:rPr>
                <w:b/>
              </w:rPr>
              <w:t xml:space="preserve">Dermal exposure (HEEG Opinion 1, </w:t>
            </w:r>
            <w:proofErr w:type="spellStart"/>
            <w:r>
              <w:rPr>
                <w:b/>
              </w:rPr>
              <w:t>Ispra</w:t>
            </w:r>
            <w:proofErr w:type="spellEnd"/>
            <w:r>
              <w:rPr>
                <w:b/>
              </w:rPr>
              <w:t>, 06/04/2008)</w:t>
            </w:r>
          </w:p>
        </w:tc>
      </w:tr>
      <w:tr w:rsidR="00CF59EF" w14:paraId="79E0FE8F"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31C28" w14:textId="77777777" w:rsidR="00CF59EF" w:rsidRDefault="000B5D37">
            <w:r>
              <w:t xml:space="preserve">Exposure rate </w:t>
            </w:r>
            <w:proofErr w:type="spellStart"/>
            <w:r>
              <w:t>b.p.</w:t>
            </w:r>
            <w:proofErr w:type="spellEnd"/>
            <w:r>
              <w:t xml:space="preserve"> on hands (indicative value)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C0678" w14:textId="77777777" w:rsidR="00CF59EF" w:rsidRDefault="00E143E7">
            <w:r>
              <w:t>3.05</w:t>
            </w:r>
            <w:r w:rsidR="000B5D37">
              <w:t xml:space="preserve"> mg/min</w:t>
            </w:r>
          </w:p>
        </w:tc>
      </w:tr>
      <w:tr w:rsidR="00CF59EF" w14:paraId="34608776"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2B367" w14:textId="77777777"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94F35" w14:textId="77777777" w:rsidR="00CF59EF" w:rsidRDefault="00C13EAF" w:rsidP="00C13EAF">
            <w:pPr>
              <w:rPr>
                <w:lang w:val="en-US"/>
              </w:rPr>
            </w:pPr>
            <w:r>
              <w:rPr>
                <w:lang w:val="en-US"/>
              </w:rPr>
              <w:t>91.5</w:t>
            </w:r>
            <w:r w:rsidR="00E143E7">
              <w:rPr>
                <w:lang w:val="en-US"/>
              </w:rPr>
              <w:t xml:space="preserve"> </w:t>
            </w:r>
            <w:r w:rsidR="000B5D37">
              <w:rPr>
                <w:lang w:val="en-US"/>
              </w:rPr>
              <w:t>mg</w:t>
            </w:r>
          </w:p>
        </w:tc>
      </w:tr>
      <w:tr w:rsidR="00CF59EF" w14:paraId="689D9B90"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398039" w14:textId="77777777"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8FA0E" w14:textId="77777777" w:rsidR="00CF59EF" w:rsidRDefault="00EA5E4D" w:rsidP="00EA5E4D">
            <w:pPr>
              <w:rPr>
                <w:lang w:val="en-US"/>
              </w:rPr>
            </w:pPr>
            <w:r>
              <w:rPr>
                <w:lang w:val="en-US"/>
              </w:rPr>
              <w:t>1.14</w:t>
            </w:r>
            <w:r w:rsidR="000B5D37">
              <w:rPr>
                <w:lang w:val="en-US"/>
              </w:rPr>
              <w:t xml:space="preserve"> mg/kg </w:t>
            </w:r>
            <w:proofErr w:type="spellStart"/>
            <w:r w:rsidR="000B5D37">
              <w:rPr>
                <w:lang w:val="en-US"/>
              </w:rPr>
              <w:t>bw</w:t>
            </w:r>
            <w:proofErr w:type="spellEnd"/>
            <w:r w:rsidR="000B5D37">
              <w:rPr>
                <w:lang w:val="en-US"/>
              </w:rPr>
              <w:t>/day</w:t>
            </w:r>
          </w:p>
        </w:tc>
      </w:tr>
      <w:tr w:rsidR="00CF59EF" w14:paraId="3A15D04F"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5D129" w14:textId="77777777" w:rsidR="00CF59EF" w:rsidRDefault="000B5D37">
            <w:pPr>
              <w:rPr>
                <w:b/>
                <w:lang w:val="en-US"/>
              </w:rPr>
            </w:pPr>
            <w:r>
              <w:rPr>
                <w:b/>
                <w:lang w:val="en-US"/>
              </w:rPr>
              <w:t>Respiratory exposure (Mixing and Loading Model 7)</w:t>
            </w:r>
          </w:p>
        </w:tc>
      </w:tr>
      <w:tr w:rsidR="00CF59EF" w14:paraId="7F56D845"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54C4D" w14:textId="77777777"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AD16F8" w14:textId="77777777" w:rsidR="00CF59EF" w:rsidRDefault="000B5D37" w:rsidP="00C13EAF">
            <w:pPr>
              <w:rPr>
                <w:lang w:val="en-US"/>
              </w:rPr>
            </w:pPr>
            <w:r>
              <w:rPr>
                <w:lang w:val="en-US"/>
              </w:rPr>
              <w:t>0.0</w:t>
            </w:r>
            <w:r w:rsidR="00C13EAF">
              <w:rPr>
                <w:lang w:val="en-US"/>
              </w:rPr>
              <w:t>75</w:t>
            </w:r>
            <w:r>
              <w:rPr>
                <w:lang w:val="en-US"/>
              </w:rPr>
              <w:t xml:space="preserve"> mg/kg </w:t>
            </w:r>
            <w:proofErr w:type="spellStart"/>
            <w:r>
              <w:rPr>
                <w:lang w:val="en-US"/>
              </w:rPr>
              <w:t>bw</w:t>
            </w:r>
            <w:proofErr w:type="spellEnd"/>
            <w:r>
              <w:rPr>
                <w:lang w:val="en-US"/>
              </w:rPr>
              <w:t>/day</w:t>
            </w:r>
          </w:p>
        </w:tc>
      </w:tr>
      <w:tr w:rsidR="00CF59EF" w14:paraId="6EA78C45"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3C767" w14:textId="77777777"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58978" w14:textId="77777777" w:rsidR="00CF59EF" w:rsidRDefault="002C30D1" w:rsidP="00C13EAF">
            <w:pPr>
              <w:rPr>
                <w:lang w:val="en-US"/>
              </w:rPr>
            </w:pPr>
            <w:r>
              <w:rPr>
                <w:highlight w:val="yellow"/>
                <w:lang w:val="en-US"/>
              </w:rPr>
              <w:t xml:space="preserve"> </w:t>
            </w:r>
            <w:r w:rsidR="00551EAD" w:rsidRPr="002C30D1">
              <w:rPr>
                <w:highlight w:val="yellow"/>
                <w:lang w:val="en-US"/>
              </w:rPr>
              <w:t>1.12</w:t>
            </w:r>
            <w:r w:rsidR="000B5D37">
              <w:rPr>
                <w:lang w:val="en-US"/>
              </w:rPr>
              <w:t xml:space="preserve"> mg/kg </w:t>
            </w:r>
            <w:proofErr w:type="spellStart"/>
            <w:r w:rsidR="000B5D37">
              <w:rPr>
                <w:lang w:val="en-US"/>
              </w:rPr>
              <w:t>bw</w:t>
            </w:r>
            <w:proofErr w:type="spellEnd"/>
            <w:r w:rsidR="000B5D37">
              <w:rPr>
                <w:lang w:val="en-US"/>
              </w:rPr>
              <w:t>/day</w:t>
            </w:r>
          </w:p>
        </w:tc>
      </w:tr>
    </w:tbl>
    <w:p w14:paraId="2CBD1E71" w14:textId="77777777" w:rsidR="00CF59EF" w:rsidRDefault="00CF59EF">
      <w:pPr>
        <w:spacing w:line="260" w:lineRule="atLeast"/>
        <w:rPr>
          <w:rFonts w:ascii="Times New Roman" w:eastAsia="Calibri" w:hAnsi="Times New Roman"/>
          <w:iCs/>
          <w:lang w:eastAsia="en-US"/>
        </w:rPr>
      </w:pPr>
    </w:p>
    <w:p w14:paraId="6E4593C3" w14:textId="77777777" w:rsidR="00CF59EF" w:rsidRDefault="00CF59EF">
      <w:pPr>
        <w:spacing w:line="260" w:lineRule="atLeast"/>
        <w:rPr>
          <w:rFonts w:ascii="Times New Roman" w:eastAsia="Calibri" w:hAnsi="Times New Roman"/>
          <w:i/>
          <w:iCs/>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181"/>
        <w:gridCol w:w="1147"/>
        <w:gridCol w:w="1658"/>
        <w:gridCol w:w="1667"/>
        <w:gridCol w:w="1668"/>
        <w:gridCol w:w="1876"/>
      </w:tblGrid>
      <w:tr w:rsidR="00CF59EF" w14:paraId="5D337578" w14:textId="77777777">
        <w:trPr>
          <w:cantSplit/>
          <w:tblHeader/>
        </w:trPr>
        <w:tc>
          <w:tcPr>
            <w:tcW w:w="9212"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7E42A150" w14:textId="77777777" w:rsidR="00CF59EF" w:rsidRDefault="000B5D37">
            <w:pPr>
              <w:spacing w:line="260" w:lineRule="atLeast"/>
              <w:jc w:val="center"/>
              <w:rPr>
                <w:rFonts w:eastAsia="Calibri"/>
                <w:b/>
                <w:lang w:eastAsia="en-US"/>
              </w:rPr>
            </w:pPr>
            <w:r>
              <w:rPr>
                <w:rFonts w:eastAsia="Calibri"/>
                <w:b/>
                <w:lang w:eastAsia="en-US"/>
              </w:rPr>
              <w:t>Summary table: estimated exposure from industrial uses</w:t>
            </w:r>
          </w:p>
        </w:tc>
      </w:tr>
      <w:tr w:rsidR="00CF59EF" w14:paraId="10A07028" w14:textId="77777777">
        <w:trPr>
          <w:cantSplit/>
          <w:tblHeader/>
        </w:trPr>
        <w:tc>
          <w:tcPr>
            <w:tcW w:w="118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A2E5CBB" w14:textId="77777777" w:rsidR="00CF59EF" w:rsidRDefault="000B5D37">
            <w:pPr>
              <w:spacing w:line="260" w:lineRule="atLeast"/>
              <w:rPr>
                <w:rFonts w:eastAsia="Calibri"/>
                <w:b/>
                <w:lang w:eastAsia="en-US"/>
              </w:rPr>
            </w:pPr>
            <w:r>
              <w:rPr>
                <w:rFonts w:eastAsia="Calibri"/>
                <w:b/>
                <w:lang w:eastAsia="en-US"/>
              </w:rPr>
              <w:t>Exposure scenario</w:t>
            </w: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FA82721" w14:textId="77777777" w:rsidR="00CF59EF" w:rsidRDefault="000B5D37">
            <w:pPr>
              <w:spacing w:line="260" w:lineRule="atLeast"/>
              <w:rPr>
                <w:rFonts w:eastAsia="Calibri"/>
                <w:b/>
                <w:lang w:eastAsia="en-US"/>
              </w:rPr>
            </w:pPr>
            <w:r>
              <w:rPr>
                <w:rFonts w:eastAsia="Calibri"/>
                <w:b/>
                <w:lang w:eastAsia="en-US"/>
              </w:rPr>
              <w:t>Tier/PPE</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0F21BD7" w14:textId="77777777" w:rsidR="00CF59EF" w:rsidRDefault="000B5D37">
            <w:pPr>
              <w:spacing w:line="260" w:lineRule="atLeast"/>
              <w:rPr>
                <w:rFonts w:eastAsia="Calibri"/>
                <w:b/>
                <w:lang w:eastAsia="en-US"/>
              </w:rPr>
            </w:pPr>
            <w:r>
              <w:rPr>
                <w:rFonts w:eastAsia="Calibri"/>
                <w:b/>
                <w:lang w:eastAsia="en-US"/>
              </w:rPr>
              <w:t>Estimated inhalation uptake</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322F4E1" w14:textId="77777777" w:rsidR="00CF59EF" w:rsidRDefault="000B5D37">
            <w:pPr>
              <w:spacing w:line="260" w:lineRule="atLeast"/>
              <w:rPr>
                <w:rFonts w:eastAsia="Calibri"/>
                <w:b/>
                <w:lang w:eastAsia="en-US"/>
              </w:rPr>
            </w:pPr>
            <w:r>
              <w:rPr>
                <w:rFonts w:eastAsia="Calibri"/>
                <w:b/>
                <w:lang w:eastAsia="en-US"/>
              </w:rPr>
              <w:t>Estimated dermal uptake</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191343" w14:textId="77777777" w:rsidR="00CF59EF" w:rsidRDefault="000B5D37">
            <w:pPr>
              <w:spacing w:line="260" w:lineRule="atLeast"/>
              <w:rPr>
                <w:rFonts w:eastAsia="Calibri"/>
                <w:b/>
                <w:lang w:eastAsia="en-US"/>
              </w:rPr>
            </w:pPr>
            <w:r>
              <w:rPr>
                <w:rFonts w:eastAsia="Calibri"/>
                <w:b/>
                <w:lang w:eastAsia="en-US"/>
              </w:rPr>
              <w:t>Estimated oral uptake</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004BBAB" w14:textId="77777777" w:rsidR="00CF59EF" w:rsidRDefault="000B5D37">
            <w:pPr>
              <w:spacing w:line="260" w:lineRule="atLeast"/>
              <w:rPr>
                <w:rFonts w:eastAsia="Calibri"/>
                <w:b/>
                <w:lang w:eastAsia="en-US"/>
              </w:rPr>
            </w:pPr>
            <w:r>
              <w:rPr>
                <w:rFonts w:eastAsia="Calibri"/>
                <w:b/>
                <w:lang w:eastAsia="en-US"/>
              </w:rPr>
              <w:t>Estimated total uptake</w:t>
            </w:r>
          </w:p>
        </w:tc>
      </w:tr>
      <w:tr w:rsidR="00CF59EF" w14:paraId="44FE63B9" w14:textId="77777777">
        <w:trPr>
          <w:cantSplit/>
          <w:tblHeader/>
        </w:trPr>
        <w:tc>
          <w:tcPr>
            <w:tcW w:w="1182" w:type="dxa"/>
            <w:vMerge w:val="restart"/>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5FB6A9F" w14:textId="77777777" w:rsidR="00CF59EF" w:rsidRDefault="000B5D37">
            <w:pPr>
              <w:spacing w:line="260" w:lineRule="atLeast"/>
              <w:rPr>
                <w:rFonts w:eastAsia="Calibri"/>
                <w:lang w:eastAsia="en-US"/>
              </w:rPr>
            </w:pPr>
            <w:r>
              <w:rPr>
                <w:rFonts w:eastAsia="Calibri"/>
                <w:lang w:eastAsia="en-US"/>
              </w:rPr>
              <w:t>Scenario 1</w:t>
            </w: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9364987" w14:textId="77777777" w:rsidR="00CF59EF" w:rsidRDefault="000B5D37">
            <w:pPr>
              <w:spacing w:line="260" w:lineRule="atLeast"/>
              <w:rPr>
                <w:rFonts w:eastAsia="Calibri"/>
                <w:lang w:eastAsia="en-US"/>
              </w:rPr>
            </w:pPr>
            <w:r>
              <w:rPr>
                <w:rFonts w:eastAsia="Calibri"/>
                <w:lang w:eastAsia="en-US"/>
              </w:rPr>
              <w:t>Tier 1 /no PPE</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2AF8BF2" w14:textId="77777777" w:rsidR="00CF59EF" w:rsidRDefault="000B5D37" w:rsidP="00C13EAF">
            <w:pPr>
              <w:spacing w:line="260" w:lineRule="atLeast"/>
              <w:rPr>
                <w:rFonts w:eastAsia="Calibri"/>
                <w:lang w:eastAsia="en-US"/>
              </w:rPr>
            </w:pPr>
            <w:r>
              <w:rPr>
                <w:rFonts w:eastAsia="Calibri"/>
                <w:lang w:eastAsia="en-US"/>
              </w:rPr>
              <w:t>0.</w:t>
            </w:r>
            <w:r w:rsidR="00C13EAF">
              <w:rPr>
                <w:rFonts w:eastAsia="Calibri"/>
                <w:lang w:eastAsia="en-US"/>
              </w:rPr>
              <w:t xml:space="preserve">075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3989CD3" w14:textId="77777777" w:rsidR="00CF59EF" w:rsidRDefault="00EA5E4D" w:rsidP="00EA5E4D">
            <w:pPr>
              <w:spacing w:line="260" w:lineRule="atLeast"/>
              <w:rPr>
                <w:rFonts w:eastAsia="Calibri"/>
                <w:lang w:eastAsia="en-US"/>
              </w:rPr>
            </w:pPr>
            <w:r>
              <w:rPr>
                <w:rFonts w:eastAsia="Calibri"/>
                <w:lang w:eastAsia="en-US"/>
              </w:rPr>
              <w:t>114.4</w:t>
            </w:r>
            <w:r w:rsidR="00E143E7">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0C549A7" w14:textId="77777777" w:rsidR="00CF59EF" w:rsidRDefault="000B5D37">
            <w:pPr>
              <w:spacing w:line="260" w:lineRule="atLeast"/>
              <w:rPr>
                <w:rFonts w:eastAsia="Calibri"/>
                <w:lang w:eastAsia="en-US"/>
              </w:rPr>
            </w:pPr>
            <w:r>
              <w:rPr>
                <w:rFonts w:eastAsia="Calibri"/>
                <w:lang w:eastAsia="en-US"/>
              </w:rPr>
              <w:t>-</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BA7874C" w14:textId="77777777" w:rsidR="00CF59EF" w:rsidRDefault="00EA5E4D" w:rsidP="00EA5E4D">
            <w:pPr>
              <w:spacing w:line="260" w:lineRule="atLeast"/>
              <w:rPr>
                <w:rFonts w:eastAsia="Calibri"/>
                <w:lang w:eastAsia="en-US"/>
              </w:rPr>
            </w:pPr>
            <w:r>
              <w:rPr>
                <w:rFonts w:eastAsia="Calibri"/>
                <w:lang w:eastAsia="en-US"/>
              </w:rPr>
              <w:t>114.4</w:t>
            </w:r>
            <w:r w:rsidR="00E143E7">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r w:rsidR="00CF59EF" w14:paraId="60925337" w14:textId="77777777">
        <w:trPr>
          <w:cantSplit/>
          <w:tblHeader/>
        </w:trPr>
        <w:tc>
          <w:tcPr>
            <w:tcW w:w="1182" w:type="dxa"/>
            <w:vMerge/>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44865F" w14:textId="77777777" w:rsidR="00CF59EF" w:rsidRDefault="00CF59EF">
            <w:pPr>
              <w:spacing w:line="260" w:lineRule="atLeast"/>
              <w:rPr>
                <w:rFonts w:eastAsia="Calibri"/>
                <w:lang w:eastAsia="en-US"/>
              </w:rPr>
            </w:pP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5E3E65E" w14:textId="77777777" w:rsidR="00CF59EF" w:rsidRDefault="000B5D37">
            <w:pPr>
              <w:spacing w:line="260" w:lineRule="atLeast"/>
              <w:rPr>
                <w:rFonts w:eastAsia="Calibri"/>
                <w:lang w:eastAsia="en-US"/>
              </w:rPr>
            </w:pPr>
            <w:r>
              <w:rPr>
                <w:rFonts w:eastAsia="Calibri"/>
                <w:lang w:eastAsia="en-US"/>
              </w:rPr>
              <w:t>Tier 2 / PPE (gloves)</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30987BB" w14:textId="77777777" w:rsidR="00CF59EF" w:rsidRDefault="000B5D37" w:rsidP="00C13EAF">
            <w:pPr>
              <w:spacing w:line="260" w:lineRule="atLeast"/>
              <w:rPr>
                <w:rFonts w:eastAsia="Calibri"/>
                <w:lang w:eastAsia="en-US"/>
              </w:rPr>
            </w:pPr>
            <w:r>
              <w:rPr>
                <w:rFonts w:eastAsia="Calibri"/>
                <w:lang w:eastAsia="en-US"/>
              </w:rPr>
              <w:t>0.</w:t>
            </w:r>
            <w:r w:rsidR="00C13EAF">
              <w:rPr>
                <w:rFonts w:eastAsia="Calibri"/>
                <w:lang w:eastAsia="en-US"/>
              </w:rPr>
              <w:t xml:space="preserve">075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FA8D3C5" w14:textId="77777777" w:rsidR="00CF59EF" w:rsidRDefault="00EA5E4D" w:rsidP="00EA5E4D">
            <w:pPr>
              <w:spacing w:line="260" w:lineRule="atLeast"/>
              <w:rPr>
                <w:rFonts w:eastAsia="Calibri"/>
                <w:lang w:eastAsia="en-US"/>
              </w:rPr>
            </w:pPr>
            <w:r>
              <w:rPr>
                <w:rFonts w:eastAsia="Calibri"/>
                <w:lang w:eastAsia="en-US"/>
              </w:rPr>
              <w:t>1.14</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AD1074E" w14:textId="77777777" w:rsidR="00CF59EF" w:rsidRDefault="000B5D37">
            <w:pPr>
              <w:spacing w:line="260" w:lineRule="atLeast"/>
              <w:rPr>
                <w:rFonts w:eastAsia="Calibri"/>
                <w:lang w:eastAsia="en-US"/>
              </w:rPr>
            </w:pPr>
            <w:r>
              <w:rPr>
                <w:rFonts w:eastAsia="Calibri"/>
                <w:lang w:eastAsia="en-US"/>
              </w:rPr>
              <w:t>-</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01213E7" w14:textId="77777777" w:rsidR="00CF59EF" w:rsidRDefault="00EA5E4D" w:rsidP="00EA5E4D">
            <w:pPr>
              <w:spacing w:line="260" w:lineRule="atLeast"/>
              <w:rPr>
                <w:rFonts w:eastAsia="Calibri"/>
                <w:lang w:eastAsia="en-US"/>
              </w:rPr>
            </w:pPr>
            <w:r w:rsidRPr="009956E7">
              <w:rPr>
                <w:rFonts w:eastAsia="Calibri"/>
                <w:highlight w:val="yellow"/>
                <w:lang w:eastAsia="en-US"/>
              </w:rPr>
              <w:t>1.</w:t>
            </w:r>
            <w:r w:rsidR="00551EAD" w:rsidRPr="009956E7">
              <w:rPr>
                <w:rFonts w:eastAsia="Calibri"/>
                <w:highlight w:val="yellow"/>
                <w:lang w:eastAsia="en-US"/>
              </w:rPr>
              <w:t>12</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p>
        </w:tc>
      </w:tr>
    </w:tbl>
    <w:p w14:paraId="688F5E10" w14:textId="77777777" w:rsidR="00064888" w:rsidRDefault="00064888">
      <w:pPr>
        <w:rPr>
          <w:rFonts w:eastAsia="Calibri"/>
          <w:b/>
          <w:i/>
          <w:sz w:val="22"/>
          <w:szCs w:val="22"/>
          <w:lang w:eastAsia="en-US"/>
        </w:rPr>
      </w:pPr>
      <w:bookmarkStart w:id="1494" w:name="_Toc403472767"/>
      <w:bookmarkStart w:id="1495" w:name="_Toc389729067"/>
    </w:p>
    <w:p w14:paraId="5F187A08" w14:textId="77777777" w:rsidR="00064888" w:rsidRDefault="00064888">
      <w:pPr>
        <w:rPr>
          <w:rFonts w:eastAsia="Calibri"/>
          <w:b/>
          <w:i/>
          <w:sz w:val="22"/>
          <w:szCs w:val="22"/>
          <w:lang w:eastAsia="en-US"/>
        </w:rPr>
      </w:pPr>
    </w:p>
    <w:p w14:paraId="490E662A" w14:textId="77777777" w:rsidR="00CF59EF" w:rsidRDefault="000B5D37">
      <w:pPr>
        <w:rPr>
          <w:rFonts w:eastAsia="Calibri"/>
          <w:b/>
          <w:i/>
          <w:sz w:val="22"/>
          <w:szCs w:val="22"/>
          <w:lang w:eastAsia="en-US"/>
        </w:rPr>
      </w:pPr>
      <w:r>
        <w:rPr>
          <w:rFonts w:eastAsia="Calibri"/>
          <w:b/>
          <w:i/>
          <w:sz w:val="22"/>
          <w:szCs w:val="22"/>
          <w:lang w:eastAsia="en-US"/>
        </w:rPr>
        <w:t>Professional exposure</w:t>
      </w:r>
      <w:bookmarkEnd w:id="1494"/>
      <w:bookmarkEnd w:id="1495"/>
      <w:r>
        <w:rPr>
          <w:rFonts w:eastAsia="Calibri"/>
          <w:b/>
          <w:i/>
          <w:sz w:val="22"/>
          <w:szCs w:val="22"/>
          <w:lang w:eastAsia="en-US"/>
        </w:rPr>
        <w:t xml:space="preserve"> </w:t>
      </w:r>
    </w:p>
    <w:p w14:paraId="48722A41" w14:textId="77777777" w:rsidR="00CF59EF" w:rsidRDefault="000B5D37">
      <w:pPr>
        <w:spacing w:line="260" w:lineRule="atLeast"/>
        <w:rPr>
          <w:rFonts w:eastAsia="Calibri"/>
          <w:lang w:eastAsia="en-US"/>
        </w:rPr>
      </w:pPr>
      <w:r>
        <w:rPr>
          <w:rFonts w:eastAsia="Calibri"/>
          <w:lang w:eastAsia="en-US"/>
        </w:rPr>
        <w:lastRenderedPageBreak/>
        <w:t xml:space="preserve">The treated articles preserved with </w:t>
      </w:r>
      <w:proofErr w:type="spellStart"/>
      <w:r>
        <w:rPr>
          <w:rFonts w:eastAsia="Calibri"/>
          <w:lang w:eastAsia="en-US"/>
        </w:rPr>
        <w:t>Kalaguard</w:t>
      </w:r>
      <w:proofErr w:type="spellEnd"/>
      <w:r>
        <w:rPr>
          <w:rFonts w:eastAsia="Calibri"/>
          <w:lang w:eastAsia="en-US"/>
        </w:rPr>
        <w:t xml:space="preserve">® SB can be used in professional settings, e.g. by professional launderers, cleaners etc. Laundering in professional settings are expected to occur by automated equipment and thus to not involve a direct contact with the treated articles. However, as a worst case, the exposure of a professional user during the loading of the treated article into the washing machine has been calculated for professional laundering. This scenario is also considered to be representative for professional dishwashing. For professional cleaning, two scenarios have been assessed: mopping of the floor using an all-purpose cleaner diluted in water, and wiping of surfaces using an all-purpose cleaner. The results of exposure estimates are presented below. </w:t>
      </w:r>
    </w:p>
    <w:p w14:paraId="5ECBE703" w14:textId="77777777" w:rsidR="00CF59EF" w:rsidRDefault="00CF59EF">
      <w:pPr>
        <w:spacing w:line="260" w:lineRule="atLeast"/>
        <w:rPr>
          <w:rFonts w:eastAsia="Calibri"/>
          <w:highlight w:val="cyan"/>
          <w:lang w:eastAsia="en-US"/>
        </w:rPr>
      </w:pPr>
    </w:p>
    <w:p w14:paraId="4F6A5167" w14:textId="77777777" w:rsidR="00064888" w:rsidRDefault="00064888">
      <w:pPr>
        <w:spacing w:line="260" w:lineRule="atLeast"/>
        <w:rPr>
          <w:rFonts w:eastAsia="Calibri"/>
          <w:highlight w:val="cyan"/>
          <w:lang w:eastAsia="en-US"/>
        </w:rPr>
      </w:pPr>
    </w:p>
    <w:p w14:paraId="3CC1CB2A" w14:textId="77777777" w:rsidR="00064888" w:rsidRDefault="00064888">
      <w:pPr>
        <w:spacing w:line="260" w:lineRule="atLeast"/>
        <w:rPr>
          <w:rFonts w:eastAsia="Calibri"/>
          <w:highlight w:val="cyan"/>
          <w:lang w:eastAsia="en-US"/>
        </w:rPr>
      </w:pPr>
    </w:p>
    <w:p w14:paraId="719BCF90" w14:textId="77777777" w:rsidR="00CF59EF" w:rsidRDefault="000B5D37">
      <w:pPr>
        <w:rPr>
          <w:rFonts w:eastAsia="Calibri"/>
          <w:i/>
          <w:sz w:val="22"/>
          <w:szCs w:val="22"/>
          <w:u w:val="single"/>
          <w:lang w:eastAsia="en-US"/>
        </w:rPr>
      </w:pPr>
      <w:r>
        <w:rPr>
          <w:rFonts w:eastAsia="Calibri"/>
          <w:i/>
          <w:sz w:val="22"/>
          <w:szCs w:val="22"/>
          <w:u w:val="single"/>
          <w:lang w:eastAsia="en-US"/>
        </w:rPr>
        <w:t>Scenario 2: Use of laundry detergent liquids preserved with the product by professionals</w:t>
      </w:r>
    </w:p>
    <w:p w14:paraId="0176C831" w14:textId="77777777"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4"/>
        <w:gridCol w:w="3063"/>
      </w:tblGrid>
      <w:tr w:rsidR="00CF59EF" w14:paraId="7D596087" w14:textId="77777777" w:rsidTr="002730C8">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44EAC376" w14:textId="77777777" w:rsidR="00CF59EF" w:rsidRDefault="000B5D37">
            <w:pPr>
              <w:spacing w:line="260" w:lineRule="atLeast"/>
              <w:rPr>
                <w:rFonts w:eastAsia="Calibri"/>
                <w:b/>
                <w:lang w:eastAsia="en-US"/>
              </w:rPr>
            </w:pPr>
            <w:r>
              <w:rPr>
                <w:rFonts w:eastAsia="Calibri"/>
                <w:b/>
                <w:lang w:eastAsia="en-US"/>
              </w:rPr>
              <w:t>Description of Scenario 2</w:t>
            </w:r>
          </w:p>
        </w:tc>
      </w:tr>
      <w:tr w:rsidR="00CF59EF" w14:paraId="52FF487B" w14:textId="77777777" w:rsidTr="002730C8">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8D91E77" w14:textId="77777777" w:rsidR="00A64B09" w:rsidRDefault="000B5D37">
            <w:pPr>
              <w:spacing w:line="260" w:lineRule="atLeast"/>
              <w:jc w:val="both"/>
              <w:rPr>
                <w:rFonts w:eastAsia="Calibri"/>
                <w:lang w:eastAsia="en-US"/>
              </w:rPr>
            </w:pPr>
            <w:r>
              <w:rPr>
                <w:rFonts w:eastAsia="Calibri"/>
                <w:lang w:eastAsia="en-US"/>
              </w:rPr>
              <w:t>A professional launderer loads a laundry detergent liquid preserved with the product at a maximal concentration of 2.5% (w/w, expressed as benzoic acid) into the washing machine 20 times per day</w:t>
            </w:r>
            <w:r w:rsidR="00A64B09">
              <w:rPr>
                <w:rFonts w:eastAsia="Calibri"/>
                <w:lang w:eastAsia="en-US"/>
              </w:rPr>
              <w:t>.</w:t>
            </w:r>
          </w:p>
          <w:p w14:paraId="6C72AC25" w14:textId="77777777" w:rsidR="00A64B09" w:rsidRDefault="00A64B09">
            <w:pPr>
              <w:spacing w:line="260" w:lineRule="atLeast"/>
              <w:jc w:val="both"/>
              <w:rPr>
                <w:rFonts w:eastAsia="Calibri"/>
                <w:lang w:eastAsia="en-US"/>
              </w:rPr>
            </w:pPr>
          </w:p>
          <w:p w14:paraId="0642FD62" w14:textId="77777777" w:rsidR="00CF59EF" w:rsidRDefault="00A64B09" w:rsidP="0022193E">
            <w:pPr>
              <w:spacing w:line="260" w:lineRule="atLeast"/>
              <w:jc w:val="both"/>
              <w:rPr>
                <w:rFonts w:eastAsia="Calibri"/>
                <w:lang w:eastAsia="en-US"/>
              </w:rPr>
            </w:pPr>
            <w:r>
              <w:rPr>
                <w:rFonts w:eastAsia="Calibri"/>
                <w:lang w:eastAsia="en-US"/>
              </w:rPr>
              <w:t>The worst case</w:t>
            </w:r>
            <w:r w:rsidR="0022193E">
              <w:rPr>
                <w:rFonts w:eastAsia="Calibri"/>
                <w:lang w:eastAsia="en-US"/>
              </w:rPr>
              <w:t xml:space="preserve"> for professional exposure by doing laundry</w:t>
            </w:r>
            <w:r w:rsidRPr="00A64B09">
              <w:rPr>
                <w:rFonts w:eastAsia="Calibri"/>
                <w:lang w:eastAsia="en-US"/>
              </w:rPr>
              <w:t xml:space="preserve"> using laundry detergent liquid, preserved with the product</w:t>
            </w:r>
            <w:r w:rsidR="0022193E">
              <w:rPr>
                <w:rFonts w:eastAsia="Calibri"/>
                <w:lang w:eastAsia="en-US"/>
              </w:rPr>
              <w:t xml:space="preserve"> would be for those</w:t>
            </w:r>
            <w:r w:rsidRPr="00A64B09">
              <w:rPr>
                <w:rFonts w:eastAsia="Calibri"/>
                <w:lang w:eastAsia="en-US"/>
              </w:rPr>
              <w:t xml:space="preserve"> carry</w:t>
            </w:r>
            <w:r w:rsidR="0022193E">
              <w:rPr>
                <w:rFonts w:eastAsia="Calibri"/>
                <w:lang w:eastAsia="en-US"/>
              </w:rPr>
              <w:t>ing</w:t>
            </w:r>
            <w:r w:rsidRPr="00A64B09">
              <w:rPr>
                <w:rFonts w:eastAsia="Calibri"/>
                <w:lang w:eastAsia="en-US"/>
              </w:rPr>
              <w:t xml:space="preserve"> out hand washing.</w:t>
            </w:r>
            <w:r w:rsidR="000B5D37">
              <w:rPr>
                <w:rFonts w:eastAsia="Calibri"/>
                <w:lang w:eastAsia="en-US"/>
              </w:rPr>
              <w:t xml:space="preserve"> </w:t>
            </w:r>
            <w:r>
              <w:rPr>
                <w:rFonts w:eastAsia="Calibri"/>
                <w:lang w:eastAsia="en-US"/>
              </w:rPr>
              <w:t>This scenario</w:t>
            </w:r>
            <w:r w:rsidR="0022193E">
              <w:rPr>
                <w:rFonts w:eastAsia="Calibri"/>
                <w:lang w:eastAsia="en-US"/>
              </w:rPr>
              <w:t xml:space="preserve"> 2 therefore</w:t>
            </w:r>
            <w:r w:rsidRPr="00A64B09">
              <w:rPr>
                <w:rFonts w:eastAsia="Calibri"/>
                <w:lang w:eastAsia="en-US"/>
              </w:rPr>
              <w:t xml:space="preserve"> represents not the worst case</w:t>
            </w:r>
            <w:r w:rsidR="0022193E">
              <w:rPr>
                <w:rFonts w:eastAsia="Calibri"/>
                <w:lang w:eastAsia="en-US"/>
              </w:rPr>
              <w:t xml:space="preserve"> but </w:t>
            </w:r>
            <w:r w:rsidR="0022193E" w:rsidRPr="00A64B09">
              <w:rPr>
                <w:rFonts w:eastAsia="Calibri"/>
                <w:lang w:eastAsia="en-US"/>
              </w:rPr>
              <w:t>the more realistic scenario</w:t>
            </w:r>
            <w:r w:rsidR="0022193E">
              <w:rPr>
                <w:rFonts w:eastAsia="Calibri"/>
                <w:lang w:eastAsia="en-US"/>
              </w:rPr>
              <w:t>.</w:t>
            </w:r>
          </w:p>
        </w:tc>
      </w:tr>
      <w:tr w:rsidR="00CF59EF" w14:paraId="48B51550" w14:textId="77777777" w:rsidTr="002730C8">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68C7326"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52A31D2"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C64E41" w14:textId="77777777" w:rsidR="00CF59EF" w:rsidRDefault="000B5D37">
            <w:pPr>
              <w:spacing w:line="260" w:lineRule="atLeast"/>
              <w:rPr>
                <w:rFonts w:eastAsia="Calibri"/>
                <w:lang w:eastAsia="en-US"/>
              </w:rPr>
            </w:pPr>
            <w:r>
              <w:rPr>
                <w:rFonts w:eastAsia="Calibri"/>
                <w:lang w:eastAsia="en-US"/>
              </w:rPr>
              <w:t>Value</w:t>
            </w:r>
          </w:p>
        </w:tc>
      </w:tr>
      <w:tr w:rsidR="00EA13B1" w14:paraId="599FB6E8" w14:textId="77777777" w:rsidTr="008D3FA2">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65FF8816"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7148EA9" w14:textId="77777777" w:rsidR="00EA13B1" w:rsidRDefault="00EA13B1" w:rsidP="002730C8">
            <w:pPr>
              <w:spacing w:line="260" w:lineRule="atLeast"/>
              <w:rPr>
                <w:rFonts w:eastAsia="Calibri"/>
                <w:sz w:val="18"/>
                <w:lang w:eastAsia="en-US"/>
              </w:rPr>
            </w:pPr>
            <w:r>
              <w:rPr>
                <w:rFonts w:eastAsia="Calibri"/>
                <w:lang w:eastAsia="en-US"/>
              </w:rPr>
              <w:t xml:space="preserve">weight fraction sodium benzoate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AB194A2" w14:textId="77777777" w:rsidR="00EA13B1" w:rsidRDefault="00EA13B1" w:rsidP="00EA13B1">
            <w:pPr>
              <w:spacing w:line="260" w:lineRule="atLeast"/>
              <w:rPr>
                <w:rFonts w:eastAsia="Calibri"/>
                <w:lang w:eastAsia="en-US"/>
              </w:rPr>
            </w:pPr>
            <w:r>
              <w:rPr>
                <w:rFonts w:eastAsia="Calibri"/>
                <w:lang w:eastAsia="en-US"/>
              </w:rPr>
              <w:t xml:space="preserve">2.5% (w/w, expressed as benzoic acid)  </w:t>
            </w:r>
          </w:p>
        </w:tc>
      </w:tr>
      <w:tr w:rsidR="00EA13B1" w14:paraId="559F33BF"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5F38DAFD"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3360DA7" w14:textId="77777777" w:rsidR="00EA13B1" w:rsidRDefault="00EA13B1">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BB68F2A" w14:textId="77777777" w:rsidR="00EA13B1" w:rsidRDefault="00EA13B1">
            <w:pPr>
              <w:spacing w:line="260" w:lineRule="atLeast"/>
              <w:rPr>
                <w:rFonts w:eastAsia="Calibri"/>
                <w:lang w:eastAsia="en-US"/>
              </w:rPr>
            </w:pPr>
          </w:p>
        </w:tc>
      </w:tr>
      <w:tr w:rsidR="00EA13B1" w14:paraId="7F5F7957"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5790F908"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FAE8F28" w14:textId="77777777" w:rsidR="00EA13B1" w:rsidRDefault="00EA13B1">
            <w:pPr>
              <w:spacing w:line="260" w:lineRule="atLeast"/>
              <w:rPr>
                <w:rFonts w:eastAsia="Calibri"/>
                <w:lang w:eastAsia="en-US"/>
              </w:rPr>
            </w:pPr>
            <w:r>
              <w:rPr>
                <w:rFonts w:eastAsia="Calibri"/>
                <w:lang w:eastAsia="en-US"/>
              </w:rPr>
              <w:t>product amount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6B6D6E9" w14:textId="77777777" w:rsidR="00EA13B1" w:rsidRDefault="00EA13B1">
            <w:pPr>
              <w:spacing w:line="260" w:lineRule="atLeast"/>
              <w:rPr>
                <w:rFonts w:eastAsia="Calibri"/>
                <w:lang w:eastAsia="en-US"/>
              </w:rPr>
            </w:pPr>
            <w:r>
              <w:rPr>
                <w:rFonts w:eastAsia="Calibri"/>
                <w:lang w:eastAsia="en-US"/>
              </w:rPr>
              <w:t>0.01 g</w:t>
            </w:r>
          </w:p>
        </w:tc>
      </w:tr>
      <w:tr w:rsidR="00EA13B1" w14:paraId="0FA716EB"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0CBEF080"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41D1593" w14:textId="77777777"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D16F49" w14:textId="77777777" w:rsidR="00EA13B1" w:rsidRDefault="00EA13B1">
            <w:pPr>
              <w:spacing w:line="260" w:lineRule="atLeast"/>
              <w:rPr>
                <w:rFonts w:eastAsia="Calibri"/>
                <w:lang w:eastAsia="en-US"/>
              </w:rPr>
            </w:pPr>
            <w:r>
              <w:rPr>
                <w:rFonts w:eastAsia="Calibri"/>
                <w:lang w:eastAsia="en-US"/>
              </w:rPr>
              <w:t>75%</w:t>
            </w:r>
          </w:p>
        </w:tc>
      </w:tr>
      <w:tr w:rsidR="00EA13B1" w14:paraId="640AF112"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1826EF38"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8B3F383" w14:textId="77777777" w:rsidR="00EA13B1" w:rsidRDefault="00EA13B1">
            <w:pPr>
              <w:spacing w:line="260" w:lineRule="atLeast"/>
              <w:rPr>
                <w:rFonts w:eastAsia="Calibri"/>
                <w:lang w:eastAsia="en-US"/>
              </w:rPr>
            </w:pPr>
            <w:r>
              <w:rPr>
                <w:rFonts w:eastAsia="Calibri"/>
                <w:lang w:eastAsia="en-US"/>
              </w:rPr>
              <w:t>events per day</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A91BCF6" w14:textId="77777777" w:rsidR="00EA13B1" w:rsidRDefault="00EA13B1">
            <w:pPr>
              <w:spacing w:line="260" w:lineRule="atLeast"/>
              <w:rPr>
                <w:rFonts w:eastAsia="Calibri"/>
                <w:lang w:eastAsia="en-US"/>
              </w:rPr>
            </w:pPr>
            <w:r>
              <w:rPr>
                <w:rFonts w:eastAsia="Calibri"/>
                <w:lang w:eastAsia="en-US"/>
              </w:rPr>
              <w:t>20</w:t>
            </w:r>
          </w:p>
        </w:tc>
      </w:tr>
      <w:tr w:rsidR="00EA13B1" w14:paraId="70B0A8AB" w14:textId="77777777" w:rsidTr="008D3FA2">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12CF393A"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2D318F3" w14:textId="77777777"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770E290" w14:textId="77777777" w:rsidR="00EA13B1" w:rsidRDefault="00EA13B1">
            <w:pPr>
              <w:spacing w:line="260" w:lineRule="atLeast"/>
              <w:rPr>
                <w:rFonts w:eastAsia="Calibri"/>
                <w:lang w:eastAsia="en-US"/>
              </w:rPr>
            </w:pPr>
            <w:r>
              <w:rPr>
                <w:rFonts w:eastAsia="Calibri"/>
                <w:lang w:eastAsia="en-US"/>
              </w:rPr>
              <w:t>60 kg</w:t>
            </w:r>
          </w:p>
        </w:tc>
      </w:tr>
    </w:tbl>
    <w:p w14:paraId="444399B6" w14:textId="77777777" w:rsidR="00CF59EF" w:rsidRDefault="00CF59EF">
      <w:pPr>
        <w:spacing w:line="260" w:lineRule="atLeast"/>
        <w:rPr>
          <w:rFonts w:eastAsia="Calibri"/>
          <w:lang w:eastAsia="en-US"/>
        </w:rPr>
      </w:pPr>
    </w:p>
    <w:p w14:paraId="706CC30A" w14:textId="77777777" w:rsidR="00CF59EF" w:rsidRDefault="000B5D37">
      <w:pPr>
        <w:rPr>
          <w:rFonts w:eastAsia="Calibri"/>
          <w:b/>
          <w:i/>
          <w:sz w:val="22"/>
          <w:szCs w:val="22"/>
          <w:lang w:eastAsia="en-US"/>
        </w:rPr>
      </w:pPr>
      <w:r>
        <w:rPr>
          <w:rFonts w:eastAsia="Calibri"/>
          <w:b/>
          <w:i/>
          <w:sz w:val="22"/>
          <w:szCs w:val="22"/>
          <w:lang w:eastAsia="en-US"/>
        </w:rPr>
        <w:t>Calculations for Scenario 2</w:t>
      </w:r>
    </w:p>
    <w:p w14:paraId="1783545E" w14:textId="77777777" w:rsidR="00CF59EF" w:rsidRDefault="000B5D37">
      <w:pPr>
        <w:spacing w:line="260" w:lineRule="atLeast"/>
        <w:rPr>
          <w:rFonts w:eastAsia="Calibri"/>
          <w:lang w:eastAsia="en-US"/>
        </w:rPr>
      </w:pPr>
      <w:r>
        <w:rPr>
          <w:rFonts w:eastAsia="Calibri"/>
          <w:lang w:eastAsia="en-US"/>
        </w:rPr>
        <w:t xml:space="preserve">Laundering in professional settings occurs in washing machines. According to </w:t>
      </w:r>
      <w:proofErr w:type="spellStart"/>
      <w:r>
        <w:rPr>
          <w:rFonts w:eastAsia="Calibri"/>
          <w:lang w:eastAsia="en-US"/>
        </w:rPr>
        <w:t>TNsG</w:t>
      </w:r>
      <w:proofErr w:type="spellEnd"/>
      <w:r>
        <w:rPr>
          <w:rFonts w:eastAsia="Calibri"/>
          <w:lang w:eastAsia="en-US"/>
        </w:rPr>
        <w:t xml:space="preserve"> Part 2 (2002), professional laundry equipment is effectively enclosed, thus no exposure is expected. However, as a worst case, the exposure for the scenario in which a professional user loads a laundry detergent liquid preserved with the product at a maximal concentration of 2.5% (expressed as benzoic acid) into a washing machine has been estimated. As a worst case, 20 events per day have been envisaged (expert judgement). </w:t>
      </w:r>
      <w:r>
        <w:rPr>
          <w:rFonts w:eastAsia="Calibri"/>
          <w:iCs/>
          <w:lang w:eastAsia="en-US"/>
        </w:rPr>
        <w:t xml:space="preserve">The default exposure scenario from </w:t>
      </w:r>
      <w:proofErr w:type="spellStart"/>
      <w:r>
        <w:rPr>
          <w:rFonts w:eastAsia="Calibri"/>
          <w:iCs/>
          <w:lang w:eastAsia="en-US"/>
        </w:rPr>
        <w:t>ConsExpo</w:t>
      </w:r>
      <w:proofErr w:type="spellEnd"/>
      <w:r>
        <w:rPr>
          <w:rFonts w:eastAsia="Calibri"/>
          <w:iCs/>
          <w:lang w:eastAsia="en-US"/>
        </w:rPr>
        <w:t xml:space="preserve"> 4.1 was used to calculate the exposure per single loading event. As the vapour pressure of sodium benzoate is extremely low, its evaporation from aqueous solution is considered to be negligible; thus no respiratory exposure is expected. For dermal exposure,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w:t>
      </w:r>
      <w:r>
        <w:rPr>
          <w:rFonts w:eastAsia="Calibri"/>
          <w:iCs/>
          <w:lang w:eastAsia="en-US"/>
        </w:rPr>
        <w:lastRenderedPageBreak/>
        <w:t xml:space="preserve">(2012). The amount of the product which is considered to come into direct contact with hand during a single loading event is 0.01 g (default </w:t>
      </w:r>
      <w:proofErr w:type="spellStart"/>
      <w:r>
        <w:rPr>
          <w:rFonts w:eastAsia="Calibri"/>
          <w:iCs/>
          <w:lang w:eastAsia="en-US"/>
        </w:rPr>
        <w:t>ConsExpo</w:t>
      </w:r>
      <w:proofErr w:type="spellEnd"/>
      <w:r>
        <w:rPr>
          <w:rFonts w:eastAsia="Calibri"/>
          <w:iCs/>
          <w:lang w:eastAsia="en-US"/>
        </w:rPr>
        <w:t xml:space="preserve"> 4.1). The resulting exposure estimates are presented in Annex 3.2. The internal systemic exposure to sodium benzoate per single loading event is equal to 3.13 x 10</w:t>
      </w:r>
      <w:r>
        <w:rPr>
          <w:rFonts w:eastAsia="Calibri"/>
          <w:iCs/>
          <w:vertAlign w:val="superscript"/>
          <w:lang w:eastAsia="en-US"/>
        </w:rPr>
        <w:t>-3</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/day. For 20 loading events per day, the exposure is calculated to be (3.13 x 10</w:t>
      </w:r>
      <w:r>
        <w:rPr>
          <w:rFonts w:eastAsia="Calibri"/>
          <w:iCs/>
          <w:vertAlign w:val="superscript"/>
          <w:lang w:eastAsia="en-US"/>
        </w:rPr>
        <w:t>-3</w:t>
      </w:r>
      <w:r>
        <w:rPr>
          <w:rFonts w:eastAsia="Calibri"/>
          <w:iCs/>
          <w:lang w:eastAsia="en-US"/>
        </w:rPr>
        <w:t xml:space="preserve"> x 20 =) </w:t>
      </w:r>
      <w:r>
        <w:rPr>
          <w:rFonts w:eastAsia="Calibri"/>
          <w:lang w:eastAsia="en-US"/>
        </w:rPr>
        <w:t xml:space="preserve">0.0626 mg/kg </w:t>
      </w:r>
      <w:proofErr w:type="spellStart"/>
      <w:r>
        <w:rPr>
          <w:rFonts w:eastAsia="Calibri"/>
          <w:lang w:eastAsia="en-US"/>
        </w:rPr>
        <w:t>bw</w:t>
      </w:r>
      <w:proofErr w:type="spellEnd"/>
      <w:r>
        <w:rPr>
          <w:rFonts w:eastAsia="Calibri"/>
          <w:lang w:eastAsia="en-US"/>
        </w:rPr>
        <w:t xml:space="preserve">/day, respectively. </w:t>
      </w:r>
    </w:p>
    <w:p w14:paraId="244845D5" w14:textId="77777777" w:rsidR="00CF59EF" w:rsidRDefault="00CF59EF">
      <w:pPr>
        <w:spacing w:line="260" w:lineRule="atLeast"/>
        <w:rPr>
          <w:rFonts w:eastAsia="Calibri"/>
          <w:lang w:eastAsia="en-US"/>
        </w:rPr>
      </w:pPr>
    </w:p>
    <w:p w14:paraId="03ABD240" w14:textId="77777777" w:rsidR="00CF59EF" w:rsidRDefault="000B5D37">
      <w:pPr>
        <w:rPr>
          <w:rFonts w:eastAsia="Calibri"/>
          <w:i/>
          <w:sz w:val="22"/>
          <w:szCs w:val="22"/>
          <w:u w:val="single"/>
          <w:lang w:eastAsia="en-US"/>
        </w:rPr>
      </w:pPr>
      <w:r>
        <w:rPr>
          <w:rFonts w:eastAsia="Calibri"/>
          <w:i/>
          <w:sz w:val="22"/>
          <w:szCs w:val="22"/>
          <w:u w:val="single"/>
          <w:lang w:eastAsia="en-US"/>
        </w:rPr>
        <w:t>Scenario 3: Use of floor cleaner liquids preserved with the product for the mopping of the floor with a mop and a wringer bucket by professional users</w:t>
      </w:r>
    </w:p>
    <w:p w14:paraId="71AD9ADE" w14:textId="77777777"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14:paraId="293F8FF3"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2C1B2AA4" w14:textId="77777777" w:rsidR="00CF59EF" w:rsidRDefault="000B5D37">
            <w:pPr>
              <w:spacing w:line="260" w:lineRule="atLeast"/>
              <w:rPr>
                <w:rFonts w:eastAsia="Calibri"/>
                <w:b/>
                <w:lang w:eastAsia="en-US"/>
              </w:rPr>
            </w:pPr>
            <w:r>
              <w:rPr>
                <w:rFonts w:eastAsia="Calibri"/>
                <w:b/>
                <w:lang w:eastAsia="en-US"/>
              </w:rPr>
              <w:t>Description of Scenario 3</w:t>
            </w:r>
          </w:p>
        </w:tc>
      </w:tr>
      <w:tr w:rsidR="00CF59EF" w14:paraId="49A68CCF"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68223DD" w14:textId="77777777" w:rsidR="00CF59EF" w:rsidRDefault="000B5D37">
            <w:pPr>
              <w:spacing w:line="260" w:lineRule="atLeast"/>
              <w:jc w:val="both"/>
              <w:rPr>
                <w:rFonts w:eastAsia="Calibri"/>
                <w:lang w:eastAsia="en-US"/>
              </w:rPr>
            </w:pPr>
            <w:r>
              <w:rPr>
                <w:rFonts w:eastAsia="Calibri"/>
                <w:lang w:eastAsia="en-US"/>
              </w:rPr>
              <w:t>A professional cleaner uses a floor cleaner liquid preserved with a product at a maximal concentration 2.5% (w/w, expressed as benzoic acid) diluted in water to mop the floor with a mop and a wringer bucket for 110 minutes per day.</w:t>
            </w:r>
          </w:p>
        </w:tc>
      </w:tr>
      <w:tr w:rsidR="00CF59EF" w14:paraId="6A1DD8D2" w14:textId="77777777"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574AB88"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E53B13"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0182A5B" w14:textId="77777777" w:rsidR="00CF59EF" w:rsidRDefault="000B5D37">
            <w:pPr>
              <w:spacing w:line="260" w:lineRule="atLeast"/>
              <w:rPr>
                <w:rFonts w:eastAsia="Calibri"/>
                <w:lang w:eastAsia="en-US"/>
              </w:rPr>
            </w:pPr>
            <w:r>
              <w:rPr>
                <w:rFonts w:eastAsia="Calibri"/>
                <w:lang w:eastAsia="en-US"/>
              </w:rPr>
              <w:t>Value</w:t>
            </w:r>
          </w:p>
        </w:tc>
      </w:tr>
      <w:tr w:rsidR="00EA13B1" w14:paraId="12DB1859" w14:textId="77777777"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1613E28F"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3E73B81" w14:textId="77777777" w:rsidR="00EA13B1" w:rsidRDefault="00EA13B1">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8E27624" w14:textId="77777777" w:rsidR="00EA13B1" w:rsidRDefault="00EA13B1">
            <w:pPr>
              <w:spacing w:line="260" w:lineRule="atLeast"/>
              <w:rPr>
                <w:rFonts w:eastAsia="Calibri"/>
                <w:lang w:eastAsia="en-US"/>
              </w:rPr>
            </w:pPr>
          </w:p>
        </w:tc>
      </w:tr>
      <w:tr w:rsidR="00EA13B1" w14:paraId="3466260C"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7A41DCEE"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BC5850E" w14:textId="77777777" w:rsidR="00EA13B1" w:rsidRDefault="00EA13B1">
            <w:pPr>
              <w:spacing w:line="260" w:lineRule="atLeast"/>
              <w:rPr>
                <w:lang w:val="en-US"/>
              </w:rPr>
            </w:pPr>
            <w:r>
              <w:t xml:space="preserve">Exposure rate in-use </w:t>
            </w:r>
            <w:proofErr w:type="spellStart"/>
            <w:r>
              <w:t>b.p.</w:t>
            </w:r>
            <w:proofErr w:type="spellEnd"/>
            <w:r>
              <w:t xml:space="preserve"> on hands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38E47D2" w14:textId="77777777" w:rsidR="00EA13B1" w:rsidRDefault="00EA13B1">
            <w:pPr>
              <w:spacing w:line="260" w:lineRule="atLeast"/>
              <w:rPr>
                <w:lang w:val="en-US"/>
              </w:rPr>
            </w:pPr>
            <w:r>
              <w:t>1030 mg/min</w:t>
            </w:r>
          </w:p>
        </w:tc>
      </w:tr>
      <w:tr w:rsidR="00EA13B1" w14:paraId="65671AF4"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4DCE5D6B"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0E2C185" w14:textId="77777777" w:rsidR="00EA13B1" w:rsidRDefault="00EA13B1">
            <w:pPr>
              <w:spacing w:line="260" w:lineRule="atLeast"/>
            </w:pPr>
            <w:r>
              <w:t xml:space="preserve">Exposure rate in-use </w:t>
            </w:r>
            <w:proofErr w:type="spellStart"/>
            <w:r>
              <w:t>b.p.</w:t>
            </w:r>
            <w:proofErr w:type="spellEnd"/>
            <w:r>
              <w:t xml:space="preserve"> on the body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626B128" w14:textId="77777777" w:rsidR="00EA13B1" w:rsidRDefault="00EA13B1">
            <w:pPr>
              <w:spacing w:line="260" w:lineRule="atLeast"/>
            </w:pPr>
            <w:r>
              <w:rPr>
                <w:lang w:val="en-US"/>
              </w:rPr>
              <w:t>87.6 mg/min</w:t>
            </w:r>
          </w:p>
        </w:tc>
      </w:tr>
      <w:tr w:rsidR="00EA13B1" w14:paraId="0503661D"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3F81FCA9"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8C6C4D8" w14:textId="77777777" w:rsidR="00EA13B1" w:rsidRDefault="00EA13B1">
            <w:pPr>
              <w:spacing w:line="260" w:lineRule="atLeast"/>
              <w:rPr>
                <w:rFonts w:eastAsia="Calibri"/>
                <w:lang w:eastAsia="en-US"/>
              </w:rPr>
            </w:pPr>
            <w:r>
              <w:rPr>
                <w:lang w:val="en-US"/>
              </w:rPr>
              <w:t>Exposure duration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C7A906B" w14:textId="77777777" w:rsidR="00EA13B1" w:rsidRDefault="00EA13B1">
            <w:pPr>
              <w:spacing w:line="260" w:lineRule="atLeast"/>
              <w:rPr>
                <w:rFonts w:eastAsia="Calibri"/>
                <w:lang w:eastAsia="en-US"/>
              </w:rPr>
            </w:pPr>
            <w:r>
              <w:rPr>
                <w:lang w:val="en-US"/>
              </w:rPr>
              <w:t>110 minutes</w:t>
            </w:r>
          </w:p>
        </w:tc>
      </w:tr>
      <w:tr w:rsidR="00EA13B1" w14:paraId="09655E9F"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6E712925"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6445CA4" w14:textId="77777777" w:rsidR="00EA13B1" w:rsidRDefault="00EA13B1">
            <w:pPr>
              <w:spacing w:line="260" w:lineRule="atLeast"/>
              <w:rPr>
                <w:rFonts w:eastAsia="Calibri"/>
                <w:lang w:eastAsia="en-US"/>
              </w:rPr>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7A2BE26" w14:textId="77777777" w:rsidR="00EA13B1" w:rsidRDefault="00EA13B1">
            <w:pPr>
              <w:spacing w:line="260" w:lineRule="atLeast"/>
              <w:rPr>
                <w:rFonts w:eastAsia="Calibri"/>
                <w:lang w:eastAsia="en-US"/>
              </w:rPr>
            </w:pPr>
            <w:r>
              <w:rPr>
                <w:lang w:val="en-US"/>
              </w:rPr>
              <w:t>0.125%</w:t>
            </w:r>
          </w:p>
        </w:tc>
      </w:tr>
      <w:tr w:rsidR="00EA13B1" w14:paraId="071CAF1F"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10EBB0B0"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CE608E2" w14:textId="77777777"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FEFA1BD" w14:textId="77777777" w:rsidR="00EA13B1" w:rsidRDefault="00EA13B1">
            <w:pPr>
              <w:spacing w:line="260" w:lineRule="atLeast"/>
              <w:rPr>
                <w:rFonts w:eastAsia="Calibri"/>
                <w:lang w:eastAsia="en-US"/>
              </w:rPr>
            </w:pPr>
            <w:r>
              <w:rPr>
                <w:rFonts w:eastAsia="Calibri"/>
                <w:lang w:eastAsia="en-US"/>
              </w:rPr>
              <w:t>75%</w:t>
            </w:r>
          </w:p>
        </w:tc>
      </w:tr>
      <w:tr w:rsidR="00EA13B1" w14:paraId="580C48DF" w14:textId="77777777" w:rsidTr="00EA13B1">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7276FB78"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99A282C" w14:textId="77777777"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A040A50" w14:textId="77777777" w:rsidR="00EA13B1" w:rsidRDefault="00EA13B1">
            <w:pPr>
              <w:spacing w:line="260" w:lineRule="atLeast"/>
              <w:rPr>
                <w:rFonts w:eastAsia="Calibri"/>
                <w:lang w:eastAsia="en-US"/>
              </w:rPr>
            </w:pPr>
            <w:r>
              <w:rPr>
                <w:rFonts w:eastAsia="Calibri"/>
                <w:lang w:eastAsia="en-US"/>
              </w:rPr>
              <w:t>60 kg</w:t>
            </w:r>
          </w:p>
        </w:tc>
      </w:tr>
    </w:tbl>
    <w:p w14:paraId="6A547A7C" w14:textId="77777777" w:rsidR="00CF59EF" w:rsidRDefault="00CF59EF">
      <w:pPr>
        <w:spacing w:line="260" w:lineRule="atLeast"/>
        <w:rPr>
          <w:rFonts w:eastAsia="Calibri"/>
          <w:lang w:eastAsia="en-US"/>
        </w:rPr>
      </w:pPr>
    </w:p>
    <w:p w14:paraId="45EBE154" w14:textId="77777777" w:rsidR="00CF59EF" w:rsidRDefault="000B5D37">
      <w:pPr>
        <w:rPr>
          <w:rFonts w:eastAsia="Calibri"/>
          <w:b/>
          <w:i/>
          <w:sz w:val="22"/>
          <w:szCs w:val="22"/>
          <w:lang w:eastAsia="en-US"/>
        </w:rPr>
      </w:pPr>
      <w:r>
        <w:rPr>
          <w:rFonts w:eastAsia="Calibri"/>
          <w:b/>
          <w:i/>
          <w:sz w:val="22"/>
          <w:szCs w:val="22"/>
          <w:lang w:eastAsia="en-US"/>
        </w:rPr>
        <w:t>Calculations for Scenario 3</w:t>
      </w:r>
    </w:p>
    <w:p w14:paraId="05303E24" w14:textId="77777777" w:rsidR="00CF59EF" w:rsidRDefault="000B5D37">
      <w:pPr>
        <w:rPr>
          <w:rFonts w:eastAsia="Calibri"/>
          <w:iCs/>
          <w:lang w:eastAsia="en-US"/>
        </w:rPr>
      </w:pPr>
      <w:r>
        <w:rPr>
          <w:rFonts w:eastAsia="Calibri"/>
          <w:lang w:eastAsia="en-US"/>
        </w:rPr>
        <w:t xml:space="preserve">Professional cleaners may use cleaning liquids diluted in water to mop the floors using a mop and a wringer bucket. According to </w:t>
      </w:r>
      <w:proofErr w:type="spellStart"/>
      <w:r w:rsidR="00B038DA">
        <w:rPr>
          <w:rFonts w:eastAsia="Calibri"/>
          <w:lang w:eastAsia="en-US"/>
        </w:rPr>
        <w:t>HEAd</w:t>
      </w:r>
      <w:proofErr w:type="spellEnd"/>
      <w:r w:rsidR="00B038DA">
        <w:rPr>
          <w:rFonts w:eastAsia="Calibri"/>
          <w:lang w:eastAsia="en-US"/>
        </w:rPr>
        <w:t xml:space="preserve"> hoc </w:t>
      </w:r>
      <w:r>
        <w:rPr>
          <w:rFonts w:eastAsia="Calibri"/>
          <w:lang w:eastAsia="en-US"/>
        </w:rPr>
        <w:t xml:space="preserve">Recommendation no. 2 on professional mopping and wiping time used for cleaning hard surfaces (endorsed at the Human Health Working Group II on 24 March 2014), the estimated exposure duration for this activity is 110 minutes. According to the Cleaning Products Fact Sheet (RIVM report 320104003/2006), 250 g of the floor cleaning liquid is diluted in a bucket with 5 L water. The dilution fraction is then 20 times. Considering the maximal concentration of sodium benzoate in preserved products of 2.5% (w/w, expressed as benzoic acid), the resulting maximal concentration of sodium benzoate in the in-use solution is (2.5%/20 =)0.125%. The calculations have been performed with Surface Disinfection Model 1 for hand exposure and Surface disinfection Model 3 for body exposure (HEEG Recommendation no. 6 on methods and models to assess exposure to biocidal products in different product types, v.2). Both models include a mixing and loading stage, as well as the application. </w:t>
      </w:r>
      <w:r>
        <w:rPr>
          <w:rFonts w:eastAsia="Calibri"/>
          <w:iCs/>
          <w:lang w:eastAsia="en-US"/>
        </w:rPr>
        <w:t>As the vapour pressure of sodium benzoate is extremely low, its evaporation from aqueous solution is considered to be negligible; thus no respiratory exposure is expected. Dermal absorption of sodium benzoate was set at 75% in accordance with the EFSA Guidance on dermal absorption (2012). The calculations are presented below.</w:t>
      </w:r>
    </w:p>
    <w:p w14:paraId="26CCB0C3" w14:textId="77777777" w:rsidR="00CF59EF" w:rsidRDefault="00CF59EF">
      <w:pPr>
        <w:rPr>
          <w:rFonts w:eastAsia="Calibri"/>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14:paraId="1C5463CD"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5FFD6" w14:textId="77777777" w:rsidR="00CF59EF" w:rsidRDefault="000B5D37">
            <w:pPr>
              <w:rPr>
                <w:b/>
              </w:rPr>
            </w:pPr>
            <w:r>
              <w:rPr>
                <w:b/>
              </w:rPr>
              <w:t>Floor mopping</w:t>
            </w:r>
          </w:p>
        </w:tc>
      </w:tr>
      <w:tr w:rsidR="00CF59EF" w14:paraId="5499514B"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565A5" w14:textId="77777777" w:rsidR="00CF59EF" w:rsidRDefault="000B5D37">
            <w:pPr>
              <w:rPr>
                <w:b/>
              </w:rPr>
            </w:pPr>
            <w:r>
              <w:rPr>
                <w:b/>
              </w:rPr>
              <w:t>Tier 1: No PPE</w:t>
            </w:r>
          </w:p>
        </w:tc>
      </w:tr>
      <w:tr w:rsidR="00CF59EF" w14:paraId="13200964"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D088E2" w14:textId="77777777" w:rsidR="00CF59EF" w:rsidRDefault="000B5D37">
            <w:pPr>
              <w:rPr>
                <w:b/>
              </w:rPr>
            </w:pPr>
            <w:r>
              <w:rPr>
                <w:b/>
              </w:rPr>
              <w:t>Dermal exposure to hands (Surface disinfection model 1)</w:t>
            </w:r>
          </w:p>
        </w:tc>
      </w:tr>
      <w:tr w:rsidR="00CF59EF" w14:paraId="0DAAD647"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4F926" w14:textId="77777777" w:rsidR="00CF59EF" w:rsidRDefault="000B5D37">
            <w:r>
              <w:lastRenderedPageBreak/>
              <w:t xml:space="preserve">Exposure rate in-use </w:t>
            </w:r>
            <w:proofErr w:type="spellStart"/>
            <w:r>
              <w:t>b.p.</w:t>
            </w:r>
            <w:proofErr w:type="spellEnd"/>
            <w:r>
              <w:t xml:space="preserve"> on hands (75</w:t>
            </w:r>
            <w:r>
              <w:rPr>
                <w:vertAlign w:val="superscript"/>
              </w:rPr>
              <w:t>th</w:t>
            </w:r>
            <w:r>
              <w:t xml:space="preserve"> percentile)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70D01" w14:textId="77777777" w:rsidR="00CF59EF" w:rsidRDefault="000B5D37">
            <w:r>
              <w:t>1030 mg/min</w:t>
            </w:r>
          </w:p>
        </w:tc>
      </w:tr>
      <w:tr w:rsidR="00CF59EF" w14:paraId="7EFF7253"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B1F75" w14:textId="77777777"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2B826" w14:textId="77777777" w:rsidR="00CF59EF" w:rsidRDefault="000B5D37">
            <w:pPr>
              <w:rPr>
                <w:lang w:val="en-US"/>
              </w:rPr>
            </w:pPr>
            <w:r>
              <w:rPr>
                <w:lang w:val="en-US"/>
              </w:rPr>
              <w:t>113300 mg</w:t>
            </w:r>
          </w:p>
        </w:tc>
      </w:tr>
      <w:tr w:rsidR="00CF59EF" w14:paraId="28B8C754"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1E958" w14:textId="77777777" w:rsidR="00CF59EF" w:rsidRDefault="000B5D37">
            <w:pPr>
              <w:rPr>
                <w:lang w:val="en-US"/>
              </w:rPr>
            </w:pPr>
            <w:r>
              <w:rPr>
                <w:lang w:val="en-US"/>
              </w:rPr>
              <w:t>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18CF1" w14:textId="77777777" w:rsidR="00CF59EF" w:rsidRDefault="000B5D37">
            <w:pPr>
              <w:rPr>
                <w:lang w:val="en-US"/>
              </w:rPr>
            </w:pPr>
            <w:r>
              <w:rPr>
                <w:lang w:val="en-US"/>
              </w:rPr>
              <w:t>0.125%</w:t>
            </w:r>
          </w:p>
        </w:tc>
      </w:tr>
      <w:tr w:rsidR="00CF59EF" w14:paraId="5F5D0BE8"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3A9D2" w14:textId="77777777"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6C1FF" w14:textId="77777777" w:rsidR="00CF59EF" w:rsidRDefault="000B5D37">
            <w:pPr>
              <w:rPr>
                <w:lang w:val="en-US"/>
              </w:rPr>
            </w:pPr>
            <w:r>
              <w:rPr>
                <w:lang w:val="en-US"/>
              </w:rPr>
              <w:t>141.6 mg</w:t>
            </w:r>
          </w:p>
        </w:tc>
      </w:tr>
      <w:tr w:rsidR="00CF59EF" w14:paraId="6C881424"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EACEF" w14:textId="77777777"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D04A5" w14:textId="77777777" w:rsidR="00CF59EF" w:rsidRDefault="000B5D37">
            <w:pPr>
              <w:rPr>
                <w:lang w:val="en-US"/>
              </w:rPr>
            </w:pPr>
            <w:r>
              <w:rPr>
                <w:lang w:val="en-US"/>
              </w:rPr>
              <w:t xml:space="preserve">1.77 mg/kg </w:t>
            </w:r>
            <w:proofErr w:type="spellStart"/>
            <w:r>
              <w:rPr>
                <w:lang w:val="en-US"/>
              </w:rPr>
              <w:t>bw</w:t>
            </w:r>
            <w:proofErr w:type="spellEnd"/>
            <w:r>
              <w:rPr>
                <w:lang w:val="en-US"/>
              </w:rPr>
              <w:t>/day</w:t>
            </w:r>
          </w:p>
        </w:tc>
      </w:tr>
      <w:tr w:rsidR="00CF59EF" w14:paraId="43FB90F1"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99FFD" w14:textId="77777777" w:rsidR="00CF59EF" w:rsidRDefault="000B5D37">
            <w:pPr>
              <w:rPr>
                <w:b/>
                <w:lang w:val="en-US"/>
              </w:rPr>
            </w:pPr>
            <w:r>
              <w:rPr>
                <w:b/>
                <w:lang w:val="en-US"/>
              </w:rPr>
              <w:t>Dermal exposure to the body (Surface disinfection model 3)</w:t>
            </w:r>
          </w:p>
        </w:tc>
      </w:tr>
      <w:tr w:rsidR="00CF59EF" w14:paraId="7C2778EC"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433D6" w14:textId="77777777" w:rsidR="00CF59EF" w:rsidRDefault="000B5D37">
            <w:r>
              <w:t xml:space="preserve">Exposure rate in-use </w:t>
            </w:r>
            <w:proofErr w:type="spellStart"/>
            <w:r>
              <w:t>b.p.</w:t>
            </w:r>
            <w:proofErr w:type="spellEnd"/>
            <w:r>
              <w:t xml:space="preserve"> on the body (75</w:t>
            </w:r>
            <w:r>
              <w:rPr>
                <w:vertAlign w:val="superscript"/>
              </w:rPr>
              <w:t>th</w:t>
            </w:r>
            <w:r>
              <w:t xml:space="preserve"> percentile)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755AC1" w14:textId="77777777" w:rsidR="00CF59EF" w:rsidRDefault="000B5D37">
            <w:pPr>
              <w:rPr>
                <w:lang w:val="en-US"/>
              </w:rPr>
            </w:pPr>
            <w:r>
              <w:rPr>
                <w:lang w:val="en-US"/>
              </w:rPr>
              <w:t>87.6 mg/min</w:t>
            </w:r>
          </w:p>
        </w:tc>
      </w:tr>
      <w:tr w:rsidR="00CF59EF" w14:paraId="11A825E0"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6FBA2" w14:textId="77777777" w:rsidR="00CF59EF" w:rsidRDefault="000B5D37">
            <w:pPr>
              <w:rPr>
                <w:lang w:val="en-US"/>
              </w:rPr>
            </w:pPr>
            <w:r>
              <w:rPr>
                <w:lang w:val="en-US"/>
              </w:rPr>
              <w:t xml:space="preserve">Total </w:t>
            </w:r>
            <w:proofErr w:type="spellStart"/>
            <w:r>
              <w:rPr>
                <w:lang w:val="en-US"/>
              </w:rPr>
              <w:t>b.p.</w:t>
            </w:r>
            <w:proofErr w:type="spellEnd"/>
            <w:r>
              <w:rPr>
                <w:lang w:val="en-US"/>
              </w:rPr>
              <w:t xml:space="preserve"> on the body</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0401B" w14:textId="77777777" w:rsidR="00CF59EF" w:rsidRDefault="000B5D37">
            <w:pPr>
              <w:rPr>
                <w:lang w:val="en-US"/>
              </w:rPr>
            </w:pPr>
            <w:r>
              <w:rPr>
                <w:lang w:val="en-US"/>
              </w:rPr>
              <w:t>9636 mg</w:t>
            </w:r>
          </w:p>
        </w:tc>
      </w:tr>
      <w:tr w:rsidR="00CF59EF" w14:paraId="65969873"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1C296" w14:textId="77777777" w:rsidR="00CF59EF" w:rsidRDefault="000B5D37">
            <w:pPr>
              <w:rPr>
                <w:lang w:val="en-US"/>
              </w:rPr>
            </w:pPr>
            <w:r>
              <w:rPr>
                <w:lang w:val="en-US"/>
              </w:rPr>
              <w:t>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2E7E1" w14:textId="77777777" w:rsidR="00CF59EF" w:rsidRDefault="000B5D37">
            <w:pPr>
              <w:rPr>
                <w:lang w:val="en-US"/>
              </w:rPr>
            </w:pPr>
            <w:r>
              <w:rPr>
                <w:lang w:val="en-US"/>
              </w:rPr>
              <w:t>0.125%</w:t>
            </w:r>
          </w:p>
        </w:tc>
      </w:tr>
      <w:tr w:rsidR="00CF59EF" w14:paraId="3A983FD0"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35B67" w14:textId="77777777" w:rsidR="00CF59EF" w:rsidRDefault="000B5D37">
            <w:pPr>
              <w:rPr>
                <w:b/>
                <w:lang w:val="en-US"/>
              </w:rPr>
            </w:pPr>
            <w:r>
              <w:rPr>
                <w:b/>
                <w:lang w:val="en-US"/>
              </w:rPr>
              <w:t>Actual on the body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66046" w14:textId="77777777" w:rsidR="00CF59EF" w:rsidRDefault="000B5D37">
            <w:pPr>
              <w:rPr>
                <w:lang w:val="en-US"/>
              </w:rPr>
            </w:pPr>
            <w:r>
              <w:rPr>
                <w:lang w:val="en-US"/>
              </w:rPr>
              <w:t>12.05 mg</w:t>
            </w:r>
          </w:p>
        </w:tc>
      </w:tr>
      <w:tr w:rsidR="00CF59EF" w14:paraId="282EEF24"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4D4FE" w14:textId="77777777"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C0A95" w14:textId="77777777" w:rsidR="00CF59EF" w:rsidRDefault="000B5D37">
            <w:pPr>
              <w:rPr>
                <w:lang w:val="en-US"/>
              </w:rPr>
            </w:pPr>
            <w:r>
              <w:rPr>
                <w:lang w:val="en-US"/>
              </w:rPr>
              <w:t xml:space="preserve">0.15 mg/kg </w:t>
            </w:r>
            <w:proofErr w:type="spellStart"/>
            <w:r>
              <w:rPr>
                <w:lang w:val="en-US"/>
              </w:rPr>
              <w:t>bw</w:t>
            </w:r>
            <w:proofErr w:type="spellEnd"/>
            <w:r>
              <w:rPr>
                <w:lang w:val="en-US"/>
              </w:rPr>
              <w:t>/day</w:t>
            </w:r>
          </w:p>
        </w:tc>
      </w:tr>
      <w:tr w:rsidR="00CF59EF" w14:paraId="16FB5FCC"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8F8F8" w14:textId="77777777" w:rsidR="00CF59EF" w:rsidRDefault="000B5D37">
            <w:pPr>
              <w:rPr>
                <w:b/>
                <w:lang w:val="en-US"/>
              </w:rPr>
            </w:pPr>
            <w:r>
              <w:rPr>
                <w:b/>
                <w:lang w:val="en-US"/>
              </w:rPr>
              <w:t>Combined dermal exposure (hands and body)</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4011C" w14:textId="77777777" w:rsidR="00CF59EF" w:rsidRDefault="000B5D37">
            <w:pPr>
              <w:rPr>
                <w:lang w:val="en-US"/>
              </w:rPr>
            </w:pPr>
            <w:r>
              <w:rPr>
                <w:lang w:val="en-US"/>
              </w:rPr>
              <w:t xml:space="preserve">1.92 mg/kg </w:t>
            </w:r>
            <w:proofErr w:type="spellStart"/>
            <w:r>
              <w:rPr>
                <w:lang w:val="en-US"/>
              </w:rPr>
              <w:t>bw</w:t>
            </w:r>
            <w:proofErr w:type="spellEnd"/>
            <w:r>
              <w:rPr>
                <w:lang w:val="en-US"/>
              </w:rPr>
              <w:t>/day</w:t>
            </w:r>
          </w:p>
        </w:tc>
      </w:tr>
    </w:tbl>
    <w:p w14:paraId="4496D9AB" w14:textId="77777777" w:rsidR="00CF59EF" w:rsidRDefault="00CF59EF">
      <w:pPr>
        <w:spacing w:line="260" w:lineRule="atLeast"/>
        <w:rPr>
          <w:rFonts w:eastAsia="Calibri"/>
          <w:lang w:eastAsia="en-US"/>
        </w:rPr>
      </w:pPr>
    </w:p>
    <w:p w14:paraId="6A2956AD" w14:textId="77777777" w:rsidR="00CF59EF" w:rsidRDefault="00CF59EF">
      <w:pPr>
        <w:spacing w:line="260" w:lineRule="atLeast"/>
        <w:rPr>
          <w:rFonts w:eastAsia="Calibri"/>
          <w:lang w:eastAsia="en-US"/>
        </w:rPr>
      </w:pPr>
    </w:p>
    <w:p w14:paraId="4EEF17B8" w14:textId="77777777" w:rsidR="00CF59EF" w:rsidRDefault="000B5D37">
      <w:pPr>
        <w:rPr>
          <w:rFonts w:eastAsia="Calibri"/>
          <w:i/>
          <w:sz w:val="22"/>
          <w:szCs w:val="22"/>
          <w:u w:val="single"/>
          <w:lang w:eastAsia="en-US"/>
        </w:rPr>
      </w:pPr>
      <w:r>
        <w:rPr>
          <w:rFonts w:eastAsia="Calibri"/>
          <w:i/>
          <w:sz w:val="22"/>
          <w:szCs w:val="22"/>
          <w:u w:val="single"/>
          <w:lang w:eastAsia="en-US"/>
        </w:rPr>
        <w:t>Scenario 4: Use of all-purpose cleaner liquids preserved with the product for the wiping of surfaces by professional users</w:t>
      </w:r>
    </w:p>
    <w:p w14:paraId="456DC4C3" w14:textId="77777777"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14:paraId="7F496689"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1F223B4B" w14:textId="77777777" w:rsidR="00CF59EF" w:rsidRDefault="000B5D37">
            <w:pPr>
              <w:spacing w:line="260" w:lineRule="atLeast"/>
              <w:rPr>
                <w:rFonts w:eastAsia="Calibri"/>
                <w:b/>
                <w:lang w:eastAsia="en-US"/>
              </w:rPr>
            </w:pPr>
            <w:r>
              <w:rPr>
                <w:rFonts w:eastAsia="Calibri"/>
                <w:b/>
                <w:lang w:eastAsia="en-US"/>
              </w:rPr>
              <w:t>Description of Scenario 4</w:t>
            </w:r>
          </w:p>
        </w:tc>
      </w:tr>
      <w:tr w:rsidR="00CF59EF" w14:paraId="2D2AEE41"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DEFA21C" w14:textId="77777777" w:rsidR="00CF59EF" w:rsidRDefault="000B5D37">
            <w:pPr>
              <w:spacing w:line="260" w:lineRule="atLeast"/>
              <w:jc w:val="both"/>
              <w:rPr>
                <w:rFonts w:eastAsia="Calibri"/>
                <w:lang w:eastAsia="en-US"/>
              </w:rPr>
            </w:pPr>
            <w:r>
              <w:rPr>
                <w:rFonts w:eastAsia="Calibri"/>
                <w:lang w:eastAsia="en-US"/>
              </w:rPr>
              <w:t>A professional cleaner uses an all-purpose cleaner liquid preserved with a product at a maximal concentration 2.5% (w/w, expressed as benzoic acid) diluted in water to wipe the surfaces with a wrung cloth</w:t>
            </w:r>
          </w:p>
        </w:tc>
      </w:tr>
      <w:tr w:rsidR="00CF59EF" w14:paraId="25E1D6BD" w14:textId="77777777"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030489"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5D1DC35"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EF987F6" w14:textId="77777777" w:rsidR="00CF59EF" w:rsidRDefault="000B5D37">
            <w:pPr>
              <w:spacing w:line="260" w:lineRule="atLeast"/>
              <w:rPr>
                <w:rFonts w:eastAsia="Calibri"/>
                <w:lang w:eastAsia="en-US"/>
              </w:rPr>
            </w:pPr>
            <w:r>
              <w:rPr>
                <w:rFonts w:eastAsia="Calibri"/>
                <w:lang w:eastAsia="en-US"/>
              </w:rPr>
              <w:t>Value</w:t>
            </w:r>
          </w:p>
        </w:tc>
      </w:tr>
      <w:tr w:rsidR="00EA13B1" w14:paraId="540DB212" w14:textId="77777777"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63F7D97D"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65F7F88" w14:textId="77777777" w:rsidR="00EA13B1" w:rsidRDefault="00EA13B1">
            <w:pPr>
              <w:spacing w:line="260" w:lineRule="atLeast"/>
              <w:rPr>
                <w:rFonts w:eastAsia="Calibri"/>
                <w:lang w:eastAsia="en-US"/>
              </w:rPr>
            </w:pPr>
            <w:r>
              <w:t xml:space="preserve">Exposure rate in-use </w:t>
            </w:r>
            <w:proofErr w:type="spellStart"/>
            <w:r>
              <w:t>b.p.</w:t>
            </w:r>
            <w:proofErr w:type="spellEnd"/>
            <w:r>
              <w:t xml:space="preserve"> on hands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8AC4632" w14:textId="77777777" w:rsidR="00EA13B1" w:rsidRDefault="00EA13B1">
            <w:pPr>
              <w:spacing w:line="260" w:lineRule="atLeast"/>
              <w:rPr>
                <w:rFonts w:eastAsia="Calibri"/>
                <w:lang w:eastAsia="en-US"/>
              </w:rPr>
            </w:pPr>
            <w:r>
              <w:t>1030 mg/min</w:t>
            </w:r>
          </w:p>
        </w:tc>
      </w:tr>
      <w:tr w:rsidR="00EA13B1" w14:paraId="3FBD945D"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2C754870"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A68B9BF" w14:textId="77777777" w:rsidR="00EA13B1" w:rsidRDefault="00EA13B1" w:rsidP="00B25C64">
            <w:pPr>
              <w:spacing w:line="260" w:lineRule="atLeast"/>
            </w:pPr>
            <w:r>
              <w:t xml:space="preserve">Exposure rate in-use </w:t>
            </w:r>
            <w:proofErr w:type="spellStart"/>
            <w:r>
              <w:t>b.p.</w:t>
            </w:r>
            <w:proofErr w:type="spellEnd"/>
            <w:r>
              <w:t xml:space="preserve"> on </w:t>
            </w:r>
            <w:r w:rsidR="00B25C64">
              <w:t xml:space="preserve">the body </w:t>
            </w:r>
            <w:r>
              <w:t>(75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AA8BB0" w14:textId="77777777" w:rsidR="00EA13B1" w:rsidRDefault="00EA13B1">
            <w:pPr>
              <w:spacing w:line="260" w:lineRule="atLeast"/>
            </w:pPr>
            <w:r>
              <w:rPr>
                <w:lang w:val="en-US"/>
              </w:rPr>
              <w:t>87.6 mg/min</w:t>
            </w:r>
          </w:p>
        </w:tc>
      </w:tr>
      <w:tr w:rsidR="00EA13B1" w14:paraId="0E975CD6"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66F17AD1"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9018542" w14:textId="77777777" w:rsidR="00EA13B1" w:rsidRDefault="00EA13B1">
            <w:pPr>
              <w:spacing w:line="260" w:lineRule="atLeast"/>
              <w:rPr>
                <w:rFonts w:eastAsia="Calibri"/>
                <w:lang w:eastAsia="en-US"/>
              </w:rPr>
            </w:pPr>
            <w:r>
              <w:t xml:space="preserve">Exposure duration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A620CF2" w14:textId="77777777" w:rsidR="00EA13B1" w:rsidRDefault="00EA13B1">
            <w:pPr>
              <w:spacing w:line="260" w:lineRule="atLeast"/>
              <w:rPr>
                <w:rFonts w:eastAsia="Calibri"/>
                <w:lang w:eastAsia="en-US"/>
              </w:rPr>
            </w:pPr>
            <w:r>
              <w:t>220 minutes</w:t>
            </w:r>
          </w:p>
        </w:tc>
      </w:tr>
      <w:tr w:rsidR="00EA13B1" w14:paraId="2E169FFC"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5FD124B4"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579F89C" w14:textId="77777777" w:rsidR="00EA13B1" w:rsidRDefault="00EA13B1">
            <w:pPr>
              <w:spacing w:line="260" w:lineRule="atLeast"/>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43761A" w14:textId="77777777" w:rsidR="00EA13B1" w:rsidRDefault="00EA13B1">
            <w:pPr>
              <w:spacing w:line="260" w:lineRule="atLeast"/>
            </w:pPr>
            <w:r>
              <w:rPr>
                <w:lang w:val="en-US"/>
              </w:rPr>
              <w:t>0.031%</w:t>
            </w:r>
          </w:p>
        </w:tc>
      </w:tr>
      <w:tr w:rsidR="00EA13B1" w14:paraId="6E515F94"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35044689"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012D442" w14:textId="77777777"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D659D53" w14:textId="77777777" w:rsidR="00EA13B1" w:rsidRDefault="00EA13B1">
            <w:pPr>
              <w:spacing w:line="260" w:lineRule="atLeast"/>
              <w:rPr>
                <w:rFonts w:eastAsia="Calibri"/>
                <w:lang w:eastAsia="en-US"/>
              </w:rPr>
            </w:pPr>
            <w:r>
              <w:rPr>
                <w:rFonts w:eastAsia="Calibri"/>
                <w:lang w:eastAsia="en-US"/>
              </w:rPr>
              <w:t xml:space="preserve"> 75%</w:t>
            </w:r>
          </w:p>
        </w:tc>
      </w:tr>
      <w:tr w:rsidR="00EA13B1" w14:paraId="3B3E570E" w14:textId="77777777" w:rsidTr="00EA13B1">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42CCA3EE"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B9C258" w14:textId="77777777"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4617E7D" w14:textId="77777777" w:rsidR="00EA13B1" w:rsidRDefault="00EA13B1">
            <w:pPr>
              <w:spacing w:line="260" w:lineRule="atLeast"/>
              <w:rPr>
                <w:rFonts w:eastAsia="Calibri"/>
                <w:lang w:eastAsia="en-US"/>
              </w:rPr>
            </w:pPr>
            <w:r>
              <w:rPr>
                <w:rFonts w:eastAsia="Calibri"/>
                <w:lang w:eastAsia="en-US"/>
              </w:rPr>
              <w:t>60 kg</w:t>
            </w:r>
          </w:p>
        </w:tc>
      </w:tr>
    </w:tbl>
    <w:p w14:paraId="619E7F2A" w14:textId="77777777" w:rsidR="00CF59EF" w:rsidRDefault="00CF59EF">
      <w:pPr>
        <w:rPr>
          <w:rFonts w:eastAsia="Calibri"/>
          <w:lang w:eastAsia="en-US"/>
        </w:rPr>
      </w:pPr>
    </w:p>
    <w:p w14:paraId="18814840" w14:textId="77777777" w:rsidR="00CF59EF" w:rsidRDefault="000B5D37">
      <w:pPr>
        <w:rPr>
          <w:rFonts w:eastAsia="Calibri"/>
          <w:b/>
          <w:i/>
          <w:sz w:val="22"/>
          <w:szCs w:val="22"/>
          <w:lang w:eastAsia="en-US"/>
        </w:rPr>
      </w:pPr>
      <w:r>
        <w:rPr>
          <w:rFonts w:eastAsia="Calibri"/>
          <w:b/>
          <w:i/>
          <w:sz w:val="22"/>
          <w:szCs w:val="22"/>
          <w:lang w:eastAsia="en-US"/>
        </w:rPr>
        <w:t>Calculations for Scenario 4</w:t>
      </w:r>
    </w:p>
    <w:p w14:paraId="32BD787F" w14:textId="77777777" w:rsidR="00CF59EF" w:rsidRPr="009E1039" w:rsidRDefault="000B5D37" w:rsidP="009E1039">
      <w:pPr>
        <w:rPr>
          <w:rFonts w:eastAsia="Calibri"/>
          <w:iCs/>
          <w:lang w:eastAsia="en-US"/>
        </w:rPr>
      </w:pPr>
      <w:r>
        <w:rPr>
          <w:rFonts w:eastAsia="Calibri"/>
          <w:lang w:eastAsia="en-US"/>
        </w:rPr>
        <w:t xml:space="preserve">Professional cleaners may use cleaning liquids diluted in water to wipe the surfaces using a wrung cloth. According to </w:t>
      </w:r>
      <w:proofErr w:type="spellStart"/>
      <w:r w:rsidR="00B038DA">
        <w:rPr>
          <w:rFonts w:eastAsia="Calibri"/>
          <w:lang w:eastAsia="en-US"/>
        </w:rPr>
        <w:t>HEAd</w:t>
      </w:r>
      <w:proofErr w:type="spellEnd"/>
      <w:r w:rsidR="00B038DA">
        <w:rPr>
          <w:rFonts w:eastAsia="Calibri"/>
          <w:lang w:eastAsia="en-US"/>
        </w:rPr>
        <w:t xml:space="preserve"> hoc </w:t>
      </w:r>
      <w:r>
        <w:rPr>
          <w:rFonts w:eastAsia="Calibri"/>
          <w:lang w:eastAsia="en-US"/>
        </w:rPr>
        <w:t xml:space="preserve">Recommendation no. 2 on professional mopping and wiping time used for cleaning hard surfaces (endorsed at the Human Health Working Group II on 24 March 2014), the estimated exposure duration for this activity is 220 minutes. According to the Cleaning Products Fact Sheet (RIVM report 320104003/2006), 63 g of an all-purpose cleaner liquid is diluted in a bucket with 5 L water. The dilution fraction is then 80 times. Considering the maximal concentration of sodium benzoate in preserved products of 2.5% (w/w, expressed as benzoic acid), the resulting maximal concentration of sodium benzoate in the in-use solution is (2.5%/80 =)0.031%. The calculations have been performed with Surface Disinfection Model 1 for hand exposure and Surface disinfection Model 3 for body exposure (HEEG Recommendation no. 6 on methods and models to assess exposure to biocidal products in different product types, v.2). Both models include also a mixing and loading stage, as well as the application. </w:t>
      </w:r>
      <w:r>
        <w:rPr>
          <w:rFonts w:eastAsia="Calibri"/>
          <w:iCs/>
          <w:lang w:eastAsia="en-US"/>
        </w:rPr>
        <w:t xml:space="preserve">As the vapour </w:t>
      </w:r>
      <w:r>
        <w:rPr>
          <w:rFonts w:eastAsia="Calibri"/>
          <w:iCs/>
          <w:lang w:eastAsia="en-US"/>
        </w:rPr>
        <w:lastRenderedPageBreak/>
        <w:t>pressure of sodium benzoate is extremely low, its evaporation from aqueous solution is considered to be negligible; thus no respiratory exposure is expected. Dermal absorption of sodium benzoate was set at 75% in accordance with the EFSA Guidance on dermal absorption (2012). The c</w:t>
      </w:r>
      <w:r w:rsidR="009E1039">
        <w:rPr>
          <w:rFonts w:eastAsia="Calibri"/>
          <w:iCs/>
          <w:lang w:eastAsia="en-US"/>
        </w:rPr>
        <w:t>alculations are presented below.</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14:paraId="703ACC7E" w14:textId="77777777"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47149" w14:textId="77777777" w:rsidR="00CF59EF" w:rsidRDefault="000B5D37">
            <w:pPr>
              <w:rPr>
                <w:b/>
              </w:rPr>
            </w:pPr>
            <w:r>
              <w:rPr>
                <w:b/>
              </w:rPr>
              <w:t>Surface wiping</w:t>
            </w:r>
          </w:p>
        </w:tc>
      </w:tr>
      <w:tr w:rsidR="00CF59EF" w14:paraId="68C89609" w14:textId="77777777"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3E8D9" w14:textId="77777777" w:rsidR="00CF59EF" w:rsidRDefault="000B5D37">
            <w:pPr>
              <w:rPr>
                <w:b/>
              </w:rPr>
            </w:pPr>
            <w:r>
              <w:rPr>
                <w:b/>
              </w:rPr>
              <w:t>Tier 1: No PPE</w:t>
            </w:r>
          </w:p>
        </w:tc>
      </w:tr>
      <w:tr w:rsidR="00CF59EF" w14:paraId="53B09231" w14:textId="77777777"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0C2DD" w14:textId="77777777" w:rsidR="00CF59EF" w:rsidRDefault="000B5D37">
            <w:pPr>
              <w:rPr>
                <w:b/>
              </w:rPr>
            </w:pPr>
            <w:r>
              <w:rPr>
                <w:b/>
              </w:rPr>
              <w:t>Dermal exposure to hands (Surface disinfection model 1)</w:t>
            </w:r>
          </w:p>
        </w:tc>
      </w:tr>
      <w:tr w:rsidR="00CF59EF" w14:paraId="5404F6E6"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55005" w14:textId="77777777" w:rsidR="00CF59EF" w:rsidRDefault="000B5D37">
            <w:r>
              <w:t xml:space="preserve">Exposure rate in-use </w:t>
            </w:r>
            <w:proofErr w:type="spellStart"/>
            <w:r>
              <w:t>b.p.</w:t>
            </w:r>
            <w:proofErr w:type="spellEnd"/>
            <w:r>
              <w:t xml:space="preserve"> on hands (75</w:t>
            </w:r>
            <w:r>
              <w:rPr>
                <w:vertAlign w:val="superscript"/>
              </w:rPr>
              <w:t>th</w:t>
            </w:r>
            <w:r>
              <w:t xml:space="preserve"> percentile)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BB112" w14:textId="77777777" w:rsidR="00CF59EF" w:rsidRDefault="000B5D37">
            <w:r>
              <w:t>1030 mg/min</w:t>
            </w:r>
          </w:p>
        </w:tc>
      </w:tr>
      <w:tr w:rsidR="00CF59EF" w14:paraId="7CC61C46"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0BD07" w14:textId="77777777"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0AFD4" w14:textId="77777777" w:rsidR="00CF59EF" w:rsidRDefault="000B5D37">
            <w:pPr>
              <w:rPr>
                <w:lang w:val="en-US"/>
              </w:rPr>
            </w:pPr>
            <w:r>
              <w:rPr>
                <w:lang w:val="en-US"/>
              </w:rPr>
              <w:t>226600 mg</w:t>
            </w:r>
          </w:p>
        </w:tc>
      </w:tr>
      <w:tr w:rsidR="00CF59EF" w14:paraId="42ABD239"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7957A" w14:textId="77777777" w:rsidR="00CF59EF" w:rsidRDefault="000B5D37">
            <w:pPr>
              <w:rPr>
                <w:b/>
                <w:lang w:val="en-US"/>
              </w:rPr>
            </w:pPr>
            <w:r>
              <w:rPr>
                <w:b/>
                <w:lang w:val="en-US"/>
              </w:rPr>
              <w:t>Actual on hands sodium benzoate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6E4077" w14:textId="77777777" w:rsidR="00CF59EF" w:rsidRDefault="000B5D37">
            <w:pPr>
              <w:rPr>
                <w:lang w:val="en-US"/>
              </w:rPr>
            </w:pPr>
            <w:r>
              <w:rPr>
                <w:lang w:val="en-US"/>
              </w:rPr>
              <w:t>70.25 mg</w:t>
            </w:r>
          </w:p>
        </w:tc>
      </w:tr>
      <w:tr w:rsidR="00CF59EF" w14:paraId="646058E2"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CA900" w14:textId="77777777" w:rsidR="00CF59EF" w:rsidRDefault="000B5D37">
            <w:pPr>
              <w:rPr>
                <w:b/>
                <w:lang w:val="en-US"/>
              </w:rPr>
            </w:pPr>
            <w:r>
              <w:rPr>
                <w:b/>
                <w:lang w:val="en-US"/>
              </w:rPr>
              <w:t>Internal dermal exposure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DC4C19" w14:textId="77777777" w:rsidR="00CF59EF" w:rsidRDefault="000B5D37">
            <w:pPr>
              <w:rPr>
                <w:lang w:val="en-US"/>
              </w:rPr>
            </w:pPr>
            <w:r>
              <w:rPr>
                <w:lang w:val="en-US"/>
              </w:rPr>
              <w:t xml:space="preserve">0.88 mg/kg </w:t>
            </w:r>
            <w:proofErr w:type="spellStart"/>
            <w:r>
              <w:rPr>
                <w:lang w:val="en-US"/>
              </w:rPr>
              <w:t>bw</w:t>
            </w:r>
            <w:proofErr w:type="spellEnd"/>
            <w:r>
              <w:rPr>
                <w:lang w:val="en-US"/>
              </w:rPr>
              <w:t>/day</w:t>
            </w:r>
          </w:p>
        </w:tc>
      </w:tr>
      <w:tr w:rsidR="00CF59EF" w14:paraId="088DC190" w14:textId="77777777"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ED567" w14:textId="77777777" w:rsidR="00CF59EF" w:rsidRDefault="000B5D37">
            <w:pPr>
              <w:rPr>
                <w:b/>
                <w:lang w:val="en-US"/>
              </w:rPr>
            </w:pPr>
            <w:r>
              <w:rPr>
                <w:b/>
                <w:lang w:val="en-US"/>
              </w:rPr>
              <w:t>Dermal exposure to the body (Surface disinfection model 3)</w:t>
            </w:r>
          </w:p>
        </w:tc>
      </w:tr>
      <w:tr w:rsidR="00CF59EF" w14:paraId="1C108DF4"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476F6E" w14:textId="77777777" w:rsidR="00CF59EF" w:rsidRDefault="000B5D37" w:rsidP="00B25C64">
            <w:r>
              <w:t xml:space="preserve">Exposure rate in-use </w:t>
            </w:r>
            <w:proofErr w:type="spellStart"/>
            <w:r>
              <w:t>b.p.</w:t>
            </w:r>
            <w:proofErr w:type="spellEnd"/>
            <w:r>
              <w:t xml:space="preserve"> on </w:t>
            </w:r>
            <w:r w:rsidR="00B25C64">
              <w:t xml:space="preserve">the body </w:t>
            </w:r>
            <w:r>
              <w:t>(75</w:t>
            </w:r>
            <w:r>
              <w:rPr>
                <w:vertAlign w:val="superscript"/>
              </w:rPr>
              <w:t>th</w:t>
            </w:r>
            <w:r>
              <w:t xml:space="preserve"> percentile)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A98B0" w14:textId="77777777" w:rsidR="00CF59EF" w:rsidRDefault="000B5D37">
            <w:pPr>
              <w:rPr>
                <w:lang w:val="en-US"/>
              </w:rPr>
            </w:pPr>
            <w:r>
              <w:rPr>
                <w:lang w:val="en-US"/>
              </w:rPr>
              <w:t>87.6 mg/min</w:t>
            </w:r>
          </w:p>
        </w:tc>
      </w:tr>
      <w:tr w:rsidR="00CF59EF" w14:paraId="1CC4229F"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2806A" w14:textId="77777777" w:rsidR="00CF59EF" w:rsidRDefault="000B5D37" w:rsidP="00B25C64">
            <w:pPr>
              <w:rPr>
                <w:lang w:val="en-US"/>
              </w:rPr>
            </w:pPr>
            <w:r>
              <w:rPr>
                <w:lang w:val="en-US"/>
              </w:rPr>
              <w:t xml:space="preserve">Total </w:t>
            </w:r>
            <w:proofErr w:type="spellStart"/>
            <w:r>
              <w:rPr>
                <w:lang w:val="en-US"/>
              </w:rPr>
              <w:t>b.p.</w:t>
            </w:r>
            <w:proofErr w:type="spellEnd"/>
            <w:r>
              <w:rPr>
                <w:lang w:val="en-US"/>
              </w:rPr>
              <w:t xml:space="preserve"> on </w:t>
            </w:r>
            <w:r w:rsidR="00B25C64">
              <w:rPr>
                <w:lang w:val="en-US"/>
              </w:rPr>
              <w:t>the body</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533E1" w14:textId="77777777" w:rsidR="00CF59EF" w:rsidRDefault="00B25C64">
            <w:pPr>
              <w:rPr>
                <w:lang w:val="en-US"/>
              </w:rPr>
            </w:pPr>
            <w:r>
              <w:rPr>
                <w:lang w:val="en-US"/>
              </w:rPr>
              <w:t xml:space="preserve">19272 </w:t>
            </w:r>
            <w:r w:rsidR="000B5D37">
              <w:rPr>
                <w:lang w:val="en-US"/>
              </w:rPr>
              <w:t>mg</w:t>
            </w:r>
          </w:p>
        </w:tc>
      </w:tr>
      <w:tr w:rsidR="00CF59EF" w14:paraId="052351AA"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0E61C" w14:textId="77777777" w:rsidR="00CF59EF" w:rsidRDefault="000B5D37">
            <w:pPr>
              <w:rPr>
                <w:b/>
                <w:lang w:val="en-US"/>
              </w:rPr>
            </w:pPr>
            <w:r>
              <w:rPr>
                <w:b/>
                <w:lang w:val="en-US"/>
              </w:rPr>
              <w:t>Actual on the body sodium benzoate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88A6E" w14:textId="77777777" w:rsidR="00CF59EF" w:rsidRDefault="000B5D37">
            <w:pPr>
              <w:rPr>
                <w:lang w:val="en-US"/>
              </w:rPr>
            </w:pPr>
            <w:r>
              <w:rPr>
                <w:lang w:val="en-US"/>
              </w:rPr>
              <w:t>5.97 mg</w:t>
            </w:r>
          </w:p>
        </w:tc>
      </w:tr>
      <w:tr w:rsidR="00CF59EF" w14:paraId="70B24365"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0A6F9" w14:textId="77777777" w:rsidR="00CF59EF" w:rsidRDefault="000B5D37">
            <w:pPr>
              <w:rPr>
                <w:b/>
                <w:lang w:val="en-US"/>
              </w:rPr>
            </w:pPr>
            <w:r>
              <w:rPr>
                <w:b/>
                <w:lang w:val="en-US"/>
              </w:rPr>
              <w:t>Internal dermal exposure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26B7C" w14:textId="77777777" w:rsidR="00CF59EF" w:rsidRDefault="000B5D37">
            <w:pPr>
              <w:rPr>
                <w:lang w:val="en-US"/>
              </w:rPr>
            </w:pPr>
            <w:r>
              <w:rPr>
                <w:lang w:val="en-US"/>
              </w:rPr>
              <w:t xml:space="preserve">0.075 mg/kg </w:t>
            </w:r>
            <w:proofErr w:type="spellStart"/>
            <w:r>
              <w:rPr>
                <w:lang w:val="en-US"/>
              </w:rPr>
              <w:t>bw</w:t>
            </w:r>
            <w:proofErr w:type="spellEnd"/>
            <w:r>
              <w:rPr>
                <w:lang w:val="en-US"/>
              </w:rPr>
              <w:t>/day</w:t>
            </w:r>
          </w:p>
        </w:tc>
      </w:tr>
      <w:tr w:rsidR="00CF59EF" w14:paraId="5EE4FC63" w14:textId="77777777"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0613F" w14:textId="77777777" w:rsidR="00CF59EF" w:rsidRDefault="000B5D37">
            <w:pPr>
              <w:rPr>
                <w:b/>
                <w:lang w:val="en-US"/>
              </w:rPr>
            </w:pPr>
            <w:r>
              <w:rPr>
                <w:b/>
                <w:lang w:val="en-US"/>
              </w:rPr>
              <w:t>Combined dermal exposure (hands and body)</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F6290" w14:textId="77777777" w:rsidR="00CF59EF" w:rsidRDefault="000B5D37">
            <w:pPr>
              <w:rPr>
                <w:lang w:val="en-US"/>
              </w:rPr>
            </w:pPr>
            <w:r>
              <w:rPr>
                <w:lang w:val="en-US"/>
              </w:rPr>
              <w:t xml:space="preserve">0.95 mg/kg </w:t>
            </w:r>
            <w:proofErr w:type="spellStart"/>
            <w:r>
              <w:rPr>
                <w:lang w:val="en-US"/>
              </w:rPr>
              <w:t>bw</w:t>
            </w:r>
            <w:proofErr w:type="spellEnd"/>
            <w:r>
              <w:rPr>
                <w:lang w:val="en-US"/>
              </w:rPr>
              <w:t>/day</w:t>
            </w:r>
          </w:p>
        </w:tc>
      </w:tr>
    </w:tbl>
    <w:p w14:paraId="11B35D26" w14:textId="77777777" w:rsidR="00CF59EF" w:rsidRDefault="00CF59EF">
      <w:pPr>
        <w:spacing w:line="260" w:lineRule="atLeast"/>
        <w:rPr>
          <w:rFonts w:eastAsia="Calibri"/>
          <w:lang w:eastAsia="en-US"/>
        </w:rPr>
      </w:pPr>
    </w:p>
    <w:p w14:paraId="290945F6" w14:textId="77777777" w:rsidR="00CF59EF" w:rsidRDefault="00CF59EF">
      <w:pPr>
        <w:spacing w:line="260" w:lineRule="atLeast"/>
        <w:rPr>
          <w:rFonts w:eastAsia="Calibri"/>
          <w:lang w:eastAsia="en-US"/>
        </w:rPr>
      </w:pPr>
    </w:p>
    <w:p w14:paraId="63CDA8F6" w14:textId="77777777" w:rsidR="00CF59EF" w:rsidRDefault="00CF59EF">
      <w:pPr>
        <w:spacing w:line="260" w:lineRule="atLeast"/>
        <w:rPr>
          <w:rFonts w:eastAsia="Calibri"/>
          <w:lang w:eastAsia="en-US"/>
        </w:rPr>
      </w:pPr>
    </w:p>
    <w:p w14:paraId="63D7C0DA" w14:textId="77777777" w:rsidR="00CF59EF" w:rsidRDefault="000B5D37">
      <w:pPr>
        <w:rPr>
          <w:rFonts w:eastAsia="Calibri"/>
          <w:i/>
          <w:sz w:val="22"/>
          <w:szCs w:val="22"/>
          <w:u w:val="single"/>
          <w:lang w:eastAsia="en-US"/>
        </w:rPr>
      </w:pPr>
      <w:r>
        <w:rPr>
          <w:rFonts w:eastAsia="Calibri"/>
          <w:i/>
          <w:sz w:val="22"/>
          <w:szCs w:val="22"/>
          <w:u w:val="single"/>
          <w:lang w:eastAsia="en-US"/>
        </w:rPr>
        <w:t>Scenario 5: Use of hand-held trigger cleaning sprays preserved with the product for surface cleaning by professional users</w:t>
      </w:r>
    </w:p>
    <w:p w14:paraId="670E6314" w14:textId="77777777"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14:paraId="34034419" w14:textId="77777777" w:rsidTr="00F000C2">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2DFBE815" w14:textId="77777777" w:rsidR="00CF59EF" w:rsidRDefault="000B5D37">
            <w:pPr>
              <w:spacing w:line="260" w:lineRule="atLeast"/>
              <w:rPr>
                <w:rFonts w:eastAsia="Calibri"/>
                <w:b/>
                <w:lang w:eastAsia="en-US"/>
              </w:rPr>
            </w:pPr>
            <w:r>
              <w:rPr>
                <w:rFonts w:eastAsia="Calibri"/>
                <w:b/>
                <w:lang w:eastAsia="en-US"/>
              </w:rPr>
              <w:t>Description of Scenario 5</w:t>
            </w:r>
          </w:p>
        </w:tc>
      </w:tr>
      <w:tr w:rsidR="00CF59EF" w14:paraId="6052A503" w14:textId="77777777" w:rsidTr="00F000C2">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C583E15" w14:textId="77777777" w:rsidR="00CF59EF" w:rsidRDefault="000B5D37">
            <w:pPr>
              <w:spacing w:line="260" w:lineRule="atLeast"/>
              <w:jc w:val="both"/>
              <w:rPr>
                <w:rFonts w:eastAsia="Calibri"/>
                <w:lang w:eastAsia="en-US"/>
              </w:rPr>
            </w:pPr>
            <w:r>
              <w:rPr>
                <w:rFonts w:eastAsia="Calibri"/>
                <w:lang w:eastAsia="en-US"/>
              </w:rPr>
              <w:t>A professional cleaner uses a hand-held trigger spray preserved with a product at a maximal concentration 2.5% (w/w, expressed as benzoic acid) to clean surfaces for 30 minutes a day.</w:t>
            </w:r>
          </w:p>
        </w:tc>
      </w:tr>
      <w:tr w:rsidR="00CF59EF" w14:paraId="08E8BC04" w14:textId="77777777" w:rsidTr="00F000C2">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D9147D1"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97D1410"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E777C4F" w14:textId="77777777" w:rsidR="00CF59EF" w:rsidRDefault="000B5D37">
            <w:pPr>
              <w:spacing w:line="260" w:lineRule="atLeast"/>
              <w:rPr>
                <w:rFonts w:eastAsia="Calibri"/>
                <w:lang w:eastAsia="en-US"/>
              </w:rPr>
            </w:pPr>
            <w:r>
              <w:rPr>
                <w:rFonts w:eastAsia="Calibri"/>
                <w:lang w:eastAsia="en-US"/>
              </w:rPr>
              <w:t>Value</w:t>
            </w:r>
          </w:p>
        </w:tc>
      </w:tr>
      <w:tr w:rsidR="00EA13B1" w14:paraId="220BDDC8" w14:textId="77777777" w:rsidTr="008D3FA2">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6381ACB5"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0CB91FF" w14:textId="77777777" w:rsidR="00EA13B1" w:rsidRDefault="00EA13B1">
            <w:pPr>
              <w:spacing w:line="260" w:lineRule="atLeast"/>
              <w:rPr>
                <w:rFonts w:eastAsia="Calibri"/>
                <w:lang w:eastAsia="en-US"/>
              </w:rPr>
            </w:pPr>
            <w:r>
              <w:t xml:space="preserve">Exposure rate in-use </w:t>
            </w:r>
            <w:proofErr w:type="spellStart"/>
            <w:r>
              <w:t>b.p.</w:t>
            </w:r>
            <w:proofErr w:type="spellEnd"/>
            <w:r>
              <w:t xml:space="preserve"> on hands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CAC88E1" w14:textId="77777777" w:rsidR="00EA13B1" w:rsidRDefault="00EA13B1">
            <w:pPr>
              <w:spacing w:line="260" w:lineRule="atLeast"/>
              <w:rPr>
                <w:rFonts w:eastAsia="Calibri"/>
                <w:lang w:eastAsia="en-US"/>
              </w:rPr>
            </w:pPr>
            <w:r>
              <w:t>36 mg/min</w:t>
            </w:r>
          </w:p>
        </w:tc>
      </w:tr>
      <w:tr w:rsidR="00EA13B1" w14:paraId="392E25D2"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3C480FEB"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3978CCA" w14:textId="77777777" w:rsidR="00EA13B1" w:rsidRDefault="00EA13B1">
            <w:pPr>
              <w:spacing w:line="260" w:lineRule="atLeast"/>
              <w:rPr>
                <w:lang w:val="en-US"/>
              </w:rPr>
            </w:pPr>
            <w:r>
              <w:t>External exposure concentration product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800FE71" w14:textId="77777777" w:rsidR="00EA13B1" w:rsidRDefault="00EA13B1">
            <w:pPr>
              <w:spacing w:line="260" w:lineRule="atLeast"/>
              <w:rPr>
                <w:lang w:val="en-US"/>
              </w:rPr>
            </w:pPr>
            <w:r>
              <w:rPr>
                <w:lang w:val="en-US"/>
              </w:rPr>
              <w:t>10.5 mg/m</w:t>
            </w:r>
            <w:r>
              <w:rPr>
                <w:vertAlign w:val="superscript"/>
                <w:lang w:val="en-US"/>
              </w:rPr>
              <w:t>3</w:t>
            </w:r>
          </w:p>
        </w:tc>
      </w:tr>
      <w:tr w:rsidR="00EA13B1" w14:paraId="71ADA1C0"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3A6DAAED"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C43246F" w14:textId="77777777" w:rsidR="00EA13B1" w:rsidRDefault="00EA13B1">
            <w:pPr>
              <w:spacing w:line="260" w:lineRule="atLeast"/>
              <w:rPr>
                <w:rFonts w:eastAsia="Calibri"/>
                <w:lang w:eastAsia="en-US"/>
              </w:rPr>
            </w:pPr>
            <w:r>
              <w:rPr>
                <w:lang w:val="en-US"/>
              </w:rPr>
              <w:t xml:space="preserve">Exposure duration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6D98419" w14:textId="77777777" w:rsidR="00EA13B1" w:rsidRDefault="00EA13B1">
            <w:pPr>
              <w:spacing w:line="260" w:lineRule="atLeast"/>
              <w:rPr>
                <w:rFonts w:eastAsia="Calibri"/>
                <w:lang w:eastAsia="en-US"/>
              </w:rPr>
            </w:pPr>
            <w:r>
              <w:rPr>
                <w:lang w:val="en-US"/>
              </w:rPr>
              <w:t>30 minutes</w:t>
            </w:r>
          </w:p>
        </w:tc>
      </w:tr>
      <w:tr w:rsidR="00EA13B1" w14:paraId="28E12FF4"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2D232775"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8AD6BC7" w14:textId="77777777" w:rsidR="00EA13B1" w:rsidRDefault="00EA13B1">
            <w:pPr>
              <w:spacing w:line="260" w:lineRule="atLeast"/>
              <w:rPr>
                <w:lang w:val="en-US"/>
              </w:rPr>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00C7493" w14:textId="77777777" w:rsidR="00EA13B1" w:rsidRDefault="00EA13B1">
            <w:pPr>
              <w:spacing w:line="260" w:lineRule="atLeast"/>
              <w:rPr>
                <w:lang w:val="en-US"/>
              </w:rPr>
            </w:pPr>
            <w:r>
              <w:rPr>
                <w:lang w:val="en-US"/>
              </w:rPr>
              <w:t>2.5%</w:t>
            </w:r>
          </w:p>
        </w:tc>
      </w:tr>
      <w:tr w:rsidR="00EA13B1" w14:paraId="655160D8"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61F9638D"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6D161A" w14:textId="77777777"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F5C347" w14:textId="77777777" w:rsidR="00EA13B1" w:rsidRDefault="00EA13B1">
            <w:pPr>
              <w:spacing w:line="260" w:lineRule="atLeast"/>
              <w:rPr>
                <w:rFonts w:eastAsia="Calibri"/>
                <w:lang w:eastAsia="en-US"/>
              </w:rPr>
            </w:pPr>
            <w:r>
              <w:rPr>
                <w:rFonts w:eastAsia="Calibri"/>
                <w:lang w:eastAsia="en-US"/>
              </w:rPr>
              <w:t>75%</w:t>
            </w:r>
          </w:p>
        </w:tc>
      </w:tr>
      <w:tr w:rsidR="00EA13B1" w14:paraId="650F1652"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7DFD2797"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3E4C5FC" w14:textId="77777777" w:rsidR="00EA13B1" w:rsidRDefault="00EA13B1">
            <w:pPr>
              <w:spacing w:line="260" w:lineRule="atLeast"/>
              <w:rPr>
                <w:rFonts w:eastAsia="Calibri"/>
                <w:lang w:eastAsia="en-US"/>
              </w:rPr>
            </w:pPr>
            <w:r>
              <w:rPr>
                <w:lang w:val="en-US"/>
              </w:rPr>
              <w:t>Respiratory rate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A8C57BF" w14:textId="77777777" w:rsidR="00EA13B1" w:rsidRDefault="00EA13B1">
            <w:pPr>
              <w:spacing w:line="260" w:lineRule="atLeast"/>
              <w:rPr>
                <w:rFonts w:eastAsia="Calibri"/>
                <w:lang w:eastAsia="en-US"/>
              </w:rPr>
            </w:pPr>
            <w:r>
              <w:rPr>
                <w:lang w:val="en-US"/>
              </w:rPr>
              <w:t>1.25 m</w:t>
            </w:r>
            <w:r>
              <w:rPr>
                <w:vertAlign w:val="superscript"/>
                <w:lang w:val="en-US"/>
              </w:rPr>
              <w:t>3</w:t>
            </w:r>
            <w:r>
              <w:rPr>
                <w:lang w:val="en-US"/>
              </w:rPr>
              <w:t>/hour</w:t>
            </w:r>
          </w:p>
        </w:tc>
      </w:tr>
      <w:tr w:rsidR="00EA13B1" w14:paraId="009EB663" w14:textId="77777777" w:rsidTr="008D3FA2">
        <w:trPr>
          <w:tblHeader/>
        </w:trPr>
        <w:tc>
          <w:tcPr>
            <w:tcW w:w="1789" w:type="dxa"/>
            <w:vMerge/>
            <w:tcBorders>
              <w:left w:val="single" w:sz="6" w:space="0" w:color="00000A"/>
              <w:right w:val="single" w:sz="6" w:space="0" w:color="00000A"/>
            </w:tcBorders>
            <w:shd w:val="clear" w:color="auto" w:fill="auto"/>
            <w:tcMar>
              <w:left w:w="69" w:type="dxa"/>
            </w:tcMar>
          </w:tcPr>
          <w:p w14:paraId="0ED84320"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993D55B" w14:textId="77777777" w:rsidR="00EA13B1" w:rsidRDefault="00EA13B1">
            <w:pPr>
              <w:spacing w:line="260" w:lineRule="atLeast"/>
              <w:rPr>
                <w:rFonts w:eastAsia="Calibri"/>
                <w:lang w:eastAsia="en-US"/>
              </w:rPr>
            </w:pPr>
            <w:r>
              <w:rPr>
                <w:rFonts w:eastAsia="Calibri"/>
                <w:lang w:eastAsia="en-US"/>
              </w:rPr>
              <w:t>Respiratory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76CB669" w14:textId="77777777" w:rsidR="00EA13B1" w:rsidRDefault="00EA13B1">
            <w:pPr>
              <w:spacing w:line="260" w:lineRule="atLeast"/>
              <w:rPr>
                <w:rFonts w:eastAsia="Calibri"/>
                <w:lang w:eastAsia="en-US"/>
              </w:rPr>
            </w:pPr>
            <w:r>
              <w:rPr>
                <w:rFonts w:eastAsia="Calibri"/>
                <w:lang w:eastAsia="en-US"/>
              </w:rPr>
              <w:t>100%</w:t>
            </w:r>
          </w:p>
        </w:tc>
      </w:tr>
      <w:tr w:rsidR="00EA13B1" w14:paraId="6FA25B87" w14:textId="77777777" w:rsidTr="008D3FA2">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63C79814"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B22263B" w14:textId="77777777"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821B179" w14:textId="77777777" w:rsidR="00EA13B1" w:rsidRDefault="00EA13B1">
            <w:pPr>
              <w:spacing w:line="260" w:lineRule="atLeast"/>
              <w:rPr>
                <w:rFonts w:eastAsia="Calibri"/>
                <w:lang w:eastAsia="en-US"/>
              </w:rPr>
            </w:pPr>
            <w:r>
              <w:rPr>
                <w:rFonts w:eastAsia="Calibri"/>
                <w:lang w:eastAsia="en-US"/>
              </w:rPr>
              <w:t>60 kg</w:t>
            </w:r>
          </w:p>
        </w:tc>
      </w:tr>
    </w:tbl>
    <w:p w14:paraId="429E2B73" w14:textId="77777777" w:rsidR="00CF59EF" w:rsidRDefault="00CF59EF">
      <w:pPr>
        <w:rPr>
          <w:rFonts w:eastAsia="Calibri"/>
          <w:lang w:eastAsia="en-US"/>
        </w:rPr>
      </w:pPr>
    </w:p>
    <w:p w14:paraId="48F5B9B6" w14:textId="77777777" w:rsidR="00CF59EF" w:rsidRDefault="000B5D37">
      <w:pPr>
        <w:spacing w:line="260" w:lineRule="atLeast"/>
        <w:rPr>
          <w:rFonts w:eastAsia="Calibri"/>
          <w:lang w:eastAsia="en-US"/>
        </w:rPr>
      </w:pPr>
      <w:r>
        <w:rPr>
          <w:rFonts w:eastAsia="Calibri"/>
          <w:b/>
          <w:i/>
          <w:sz w:val="22"/>
          <w:szCs w:val="22"/>
          <w:lang w:eastAsia="en-US"/>
        </w:rPr>
        <w:t>Calculations for Scenario 5</w:t>
      </w:r>
    </w:p>
    <w:p w14:paraId="15E25A47" w14:textId="77777777" w:rsidR="00CF59EF" w:rsidRDefault="00CF59EF">
      <w:pPr>
        <w:spacing w:line="260" w:lineRule="atLeast"/>
        <w:rPr>
          <w:rFonts w:eastAsia="Calibri"/>
          <w:lang w:eastAsia="en-US"/>
        </w:rPr>
      </w:pPr>
    </w:p>
    <w:p w14:paraId="27AE237F" w14:textId="77777777" w:rsidR="00CF59EF" w:rsidRDefault="000B5D37">
      <w:pPr>
        <w:rPr>
          <w:rFonts w:eastAsia="Calibri"/>
          <w:iCs/>
          <w:lang w:eastAsia="en-US"/>
        </w:rPr>
      </w:pPr>
      <w:r>
        <w:rPr>
          <w:rFonts w:eastAsia="Calibri"/>
          <w:lang w:eastAsia="en-US"/>
        </w:rPr>
        <w:t xml:space="preserve">Professional users may use ready to use hand-held trigger sprays to clean smaller washable areas. Usually, at first the product is sprayed onto the surface; then, it is left on the surface to soak in for several minutes; finally, the surface should be rinsed or taken off with a wet cloth. According to the HEEG Recommendation No. 6 on methods and models to </w:t>
      </w:r>
      <w:r>
        <w:rPr>
          <w:rFonts w:eastAsia="Calibri"/>
          <w:lang w:eastAsia="en-US"/>
        </w:rPr>
        <w:lastRenderedPageBreak/>
        <w:t>assess exposure to biocidal products in different product type (v.2, June 2016), this activity lasts 30 minutes. The dermal and respiratory exposure has been calculated with Consumer Spraying and Dusting Model 2 according to the HEEG Recommendation No. 6. The product is used undiluted, thus the maximal concentration of sodium benzoate in the product is 2.5%</w:t>
      </w:r>
      <w:r w:rsidR="007F25FD">
        <w:rPr>
          <w:rFonts w:eastAsia="Calibri"/>
          <w:lang w:eastAsia="en-US"/>
        </w:rPr>
        <w:t xml:space="preserve"> </w:t>
      </w:r>
      <w:r>
        <w:rPr>
          <w:rFonts w:eastAsia="Calibri"/>
          <w:lang w:eastAsia="en-US"/>
        </w:rPr>
        <w:t xml:space="preserve">(expressed as benzoic acid). </w:t>
      </w:r>
      <w:r>
        <w:rPr>
          <w:rFonts w:eastAsia="Calibri"/>
          <w:iCs/>
          <w:lang w:eastAsia="en-US"/>
        </w:rPr>
        <w:t>Dermal absorption of sodium benzoate was set at 75% in accordance with the EFSA Guidance on dermal absorption (2012). It should be noted that droplet particles generated by coarse spraying from a trigger spray, usually have a diameter &gt; 100 µm and are thus are non-inhalable, but can deposit in the nasopharyngeal region and swallowed, thus becoming available for systemic absorption from gastro-intestinal tract. Therefore as a worst case, calculations considering 100% respiratory absorption were performed. The calculations are presented below.</w:t>
      </w:r>
    </w:p>
    <w:p w14:paraId="5E948079" w14:textId="77777777" w:rsidR="00CF59EF" w:rsidRDefault="00CF59EF">
      <w:pPr>
        <w:rPr>
          <w:rFonts w:eastAsia="Calibri"/>
          <w:iCs/>
          <w:lang w:eastAsia="en-US"/>
        </w:rPr>
      </w:pPr>
    </w:p>
    <w:p w14:paraId="02118AC9" w14:textId="77777777" w:rsidR="00CF59EF" w:rsidRDefault="00CF59EF">
      <w:pPr>
        <w:rPr>
          <w:rFonts w:eastAsia="Calibri"/>
          <w:iCs/>
          <w:lang w:eastAsia="en-US"/>
        </w:rPr>
      </w:pPr>
    </w:p>
    <w:p w14:paraId="7605F8EA" w14:textId="77777777" w:rsidR="00CF59EF" w:rsidRDefault="00CF59EF">
      <w:pPr>
        <w:rPr>
          <w:rFonts w:eastAsia="Calibr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14:paraId="35FEC624"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B162E" w14:textId="77777777" w:rsidR="00CF59EF" w:rsidRDefault="000B5D37">
            <w:pPr>
              <w:rPr>
                <w:b/>
              </w:rPr>
            </w:pPr>
            <w:r>
              <w:rPr>
                <w:b/>
              </w:rPr>
              <w:t>Surface spraying</w:t>
            </w:r>
          </w:p>
        </w:tc>
      </w:tr>
      <w:tr w:rsidR="00CF59EF" w14:paraId="5D72A296" w14:textId="77777777">
        <w:trPr>
          <w:trHeight w:val="70"/>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042E58" w14:textId="77777777" w:rsidR="00CF59EF" w:rsidRDefault="000B5D37">
            <w:pPr>
              <w:rPr>
                <w:b/>
              </w:rPr>
            </w:pPr>
            <w:r>
              <w:rPr>
                <w:b/>
              </w:rPr>
              <w:t>Tier 1: No PPE</w:t>
            </w:r>
          </w:p>
        </w:tc>
      </w:tr>
      <w:tr w:rsidR="00CF59EF" w14:paraId="13B4A80C"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42C50" w14:textId="77777777" w:rsidR="00CF59EF" w:rsidRDefault="000B5D37">
            <w:pPr>
              <w:rPr>
                <w:b/>
              </w:rPr>
            </w:pPr>
            <w:r>
              <w:rPr>
                <w:b/>
              </w:rPr>
              <w:t>Dermal exposure to hands and forearms (Consumer Spraying and Dusting Model 2)</w:t>
            </w:r>
          </w:p>
        </w:tc>
      </w:tr>
      <w:tr w:rsidR="00CF59EF" w14:paraId="475B9E21"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F8391" w14:textId="77777777" w:rsidR="00CF59EF" w:rsidRDefault="000B5D37">
            <w:r>
              <w:t xml:space="preserve">Exposure rate in-use </w:t>
            </w:r>
            <w:proofErr w:type="spellStart"/>
            <w:r>
              <w:t>b.p.</w:t>
            </w:r>
            <w:proofErr w:type="spellEnd"/>
            <w:r>
              <w:t xml:space="preserve"> on hands </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715C9" w14:textId="77777777" w:rsidR="00CF59EF" w:rsidRDefault="000B5D37">
            <w:r>
              <w:t>36 mg/min</w:t>
            </w:r>
          </w:p>
        </w:tc>
      </w:tr>
      <w:tr w:rsidR="00CF59EF" w14:paraId="277CF875"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E3739" w14:textId="77777777"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95A61" w14:textId="77777777" w:rsidR="00CF59EF" w:rsidRDefault="000B5D37">
            <w:pPr>
              <w:rPr>
                <w:lang w:val="en-US"/>
              </w:rPr>
            </w:pPr>
            <w:r>
              <w:rPr>
                <w:lang w:val="en-US"/>
              </w:rPr>
              <w:t>1080 mg</w:t>
            </w:r>
          </w:p>
        </w:tc>
      </w:tr>
      <w:tr w:rsidR="00CF59EF" w14:paraId="37B29789"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46358" w14:textId="77777777"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3DB58" w14:textId="77777777" w:rsidR="00CF59EF" w:rsidRDefault="000B5D37">
            <w:pPr>
              <w:rPr>
                <w:lang w:val="en-US"/>
              </w:rPr>
            </w:pPr>
            <w:r>
              <w:rPr>
                <w:lang w:val="en-US"/>
              </w:rPr>
              <w:t>27 mg</w:t>
            </w:r>
          </w:p>
        </w:tc>
      </w:tr>
      <w:tr w:rsidR="00CF59EF" w14:paraId="17670735"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C3F74" w14:textId="77777777"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B396E" w14:textId="77777777" w:rsidR="00CF59EF" w:rsidRDefault="000B5D37">
            <w:pPr>
              <w:rPr>
                <w:lang w:val="en-US"/>
              </w:rPr>
            </w:pPr>
            <w:r>
              <w:rPr>
                <w:lang w:val="en-US"/>
              </w:rPr>
              <w:t xml:space="preserve">0.3375 mg/kg </w:t>
            </w:r>
            <w:proofErr w:type="spellStart"/>
            <w:r>
              <w:rPr>
                <w:lang w:val="en-US"/>
              </w:rPr>
              <w:t>bw</w:t>
            </w:r>
            <w:proofErr w:type="spellEnd"/>
            <w:r>
              <w:rPr>
                <w:lang w:val="en-US"/>
              </w:rPr>
              <w:t>/day</w:t>
            </w:r>
          </w:p>
        </w:tc>
      </w:tr>
      <w:tr w:rsidR="00CF59EF" w14:paraId="2B748615" w14:textId="77777777">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C325A" w14:textId="77777777" w:rsidR="00CF59EF" w:rsidRDefault="000B5D37">
            <w:pPr>
              <w:rPr>
                <w:b/>
                <w:lang w:val="en-US"/>
              </w:rPr>
            </w:pPr>
            <w:r>
              <w:rPr>
                <w:b/>
                <w:lang w:val="en-US"/>
              </w:rPr>
              <w:t>Respiratory exposure (Consumer Spraying and Dusting Model 2)</w:t>
            </w:r>
          </w:p>
        </w:tc>
      </w:tr>
      <w:tr w:rsidR="00CF59EF" w14:paraId="04D8F549"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88FDF" w14:textId="77777777" w:rsidR="00CF59EF" w:rsidRDefault="000B5D37">
            <w:r>
              <w:t>External exposure concentration product</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43959" w14:textId="77777777" w:rsidR="00CF59EF" w:rsidRDefault="000B5D37">
            <w:pPr>
              <w:rPr>
                <w:lang w:val="en-US"/>
              </w:rPr>
            </w:pPr>
            <w:r>
              <w:rPr>
                <w:lang w:val="en-US"/>
              </w:rPr>
              <w:t>10.5 mg/m</w:t>
            </w:r>
            <w:r>
              <w:rPr>
                <w:vertAlign w:val="superscript"/>
                <w:lang w:val="en-US"/>
              </w:rPr>
              <w:t>3</w:t>
            </w:r>
          </w:p>
        </w:tc>
      </w:tr>
      <w:tr w:rsidR="00CF59EF" w14:paraId="19CF710F"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69EDB" w14:textId="77777777" w:rsidR="00CF59EF" w:rsidRDefault="000B5D37">
            <w:pPr>
              <w:rPr>
                <w:b/>
                <w:lang w:val="en-US"/>
              </w:rPr>
            </w:pPr>
            <w:r>
              <w:rPr>
                <w:b/>
                <w:lang w:val="en-US"/>
              </w:rPr>
              <w:t>External 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8E6EA" w14:textId="77777777" w:rsidR="00CF59EF" w:rsidRDefault="000B5D37">
            <w:pPr>
              <w:rPr>
                <w:vertAlign w:val="superscript"/>
                <w:lang w:val="en-US"/>
              </w:rPr>
            </w:pPr>
            <w:r>
              <w:rPr>
                <w:lang w:val="en-US"/>
              </w:rPr>
              <w:t>0.2625 mg/m</w:t>
            </w:r>
            <w:r>
              <w:rPr>
                <w:vertAlign w:val="superscript"/>
                <w:lang w:val="en-US"/>
              </w:rPr>
              <w:t>3</w:t>
            </w:r>
          </w:p>
        </w:tc>
      </w:tr>
      <w:tr w:rsidR="00CF59EF" w14:paraId="5D7E8AC0"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0FBF4" w14:textId="77777777" w:rsidR="00CF59EF" w:rsidRDefault="00CF59EF">
            <w:pPr>
              <w:rPr>
                <w:lang w:val="en-US"/>
              </w:rPr>
            </w:pP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E9F9F" w14:textId="77777777" w:rsidR="00CF59EF" w:rsidRDefault="00CF59EF">
            <w:pPr>
              <w:rPr>
                <w:lang w:val="en-US"/>
              </w:rPr>
            </w:pPr>
          </w:p>
        </w:tc>
      </w:tr>
      <w:tr w:rsidR="00CF59EF" w14:paraId="7795155F"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DC87B" w14:textId="77777777"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103A0" w14:textId="77777777" w:rsidR="00CF59EF" w:rsidRDefault="000B5D37">
            <w:pPr>
              <w:rPr>
                <w:lang w:val="en-US"/>
              </w:rPr>
            </w:pPr>
            <w:r>
              <w:rPr>
                <w:lang w:val="en-US"/>
              </w:rPr>
              <w:t xml:space="preserve">0.0027 mg/kg </w:t>
            </w:r>
            <w:proofErr w:type="spellStart"/>
            <w:r>
              <w:rPr>
                <w:lang w:val="en-US"/>
              </w:rPr>
              <w:t>bw</w:t>
            </w:r>
            <w:proofErr w:type="spellEnd"/>
            <w:r>
              <w:rPr>
                <w:lang w:val="en-US"/>
              </w:rPr>
              <w:t>/day</w:t>
            </w:r>
          </w:p>
        </w:tc>
      </w:tr>
      <w:tr w:rsidR="00CF59EF" w14:paraId="7A3E66F3" w14:textId="77777777">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1CE48" w14:textId="77777777"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3361DF" w14:textId="77777777" w:rsidR="00CF59EF" w:rsidRDefault="000B5D37">
            <w:pPr>
              <w:rPr>
                <w:lang w:val="en-US"/>
              </w:rPr>
            </w:pPr>
            <w:r>
              <w:rPr>
                <w:lang w:val="en-US"/>
              </w:rPr>
              <w:t xml:space="preserve">0.340 mg/kg </w:t>
            </w:r>
            <w:proofErr w:type="spellStart"/>
            <w:r>
              <w:rPr>
                <w:lang w:val="en-US"/>
              </w:rPr>
              <w:t>bw</w:t>
            </w:r>
            <w:proofErr w:type="spellEnd"/>
            <w:r>
              <w:rPr>
                <w:lang w:val="en-US"/>
              </w:rPr>
              <w:t>/day</w:t>
            </w:r>
          </w:p>
        </w:tc>
      </w:tr>
    </w:tbl>
    <w:p w14:paraId="4700684C" w14:textId="77777777" w:rsidR="00CF59EF" w:rsidRDefault="00CF59EF">
      <w:pPr>
        <w:rPr>
          <w:rFonts w:eastAsia="Calibri"/>
          <w:iCs/>
          <w:lang w:eastAsia="en-US"/>
        </w:rPr>
      </w:pPr>
    </w:p>
    <w:p w14:paraId="75ADF45D" w14:textId="77777777" w:rsidR="00CF59EF" w:rsidRDefault="00CF59EF">
      <w:pPr>
        <w:spacing w:line="260" w:lineRule="atLeast"/>
        <w:rPr>
          <w:rFonts w:ascii="Times New Roman" w:eastAsia="Calibri" w:hAnsi="Times New Roman"/>
          <w:iCs/>
          <w:lang w:eastAsia="en-US"/>
        </w:rPr>
      </w:pPr>
    </w:p>
    <w:p w14:paraId="2D847BF0" w14:textId="77777777" w:rsidR="00CF59EF" w:rsidRDefault="000B5D37">
      <w:pPr>
        <w:rPr>
          <w:rFonts w:eastAsia="Calibri"/>
          <w:i/>
          <w:sz w:val="22"/>
          <w:szCs w:val="22"/>
          <w:u w:val="single"/>
          <w:lang w:eastAsia="en-US"/>
        </w:rPr>
      </w:pPr>
      <w:r>
        <w:rPr>
          <w:rFonts w:eastAsia="Calibri"/>
          <w:i/>
          <w:sz w:val="22"/>
          <w:szCs w:val="22"/>
          <w:u w:val="single"/>
          <w:lang w:eastAsia="en-US"/>
        </w:rPr>
        <w:t>Scenario 6: Use of dishwashing liquids preserved with the product for cleaning of dishes manually by professional users in the catering industry</w:t>
      </w:r>
    </w:p>
    <w:p w14:paraId="4E936C3F" w14:textId="77777777" w:rsidR="00CF59EF" w:rsidRDefault="00CF59EF">
      <w:pPr>
        <w:rPr>
          <w:rFonts w:eastAsia="Calibri"/>
          <w:iCs/>
          <w:lang w:eastAsia="en-US"/>
        </w:rPr>
      </w:pPr>
    </w:p>
    <w:p w14:paraId="08AC805C" w14:textId="77777777" w:rsidR="00CF59EF" w:rsidRDefault="00CF59EF">
      <w:pPr>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9"/>
        <w:gridCol w:w="4285"/>
        <w:gridCol w:w="3061"/>
      </w:tblGrid>
      <w:tr w:rsidR="00CF59EF" w14:paraId="0E267E36"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5CC50A3C" w14:textId="77777777" w:rsidR="00CF59EF" w:rsidRDefault="000B5D37">
            <w:pPr>
              <w:spacing w:line="260" w:lineRule="atLeast"/>
              <w:rPr>
                <w:rFonts w:eastAsia="Calibri"/>
                <w:b/>
                <w:lang w:eastAsia="en-US"/>
              </w:rPr>
            </w:pPr>
            <w:r>
              <w:rPr>
                <w:rFonts w:eastAsia="Calibri"/>
                <w:b/>
                <w:lang w:eastAsia="en-US"/>
              </w:rPr>
              <w:lastRenderedPageBreak/>
              <w:t>Description of Scenario 6</w:t>
            </w:r>
          </w:p>
        </w:tc>
      </w:tr>
      <w:tr w:rsidR="00CF59EF" w14:paraId="103BA030" w14:textId="77777777"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5C48BFF" w14:textId="77777777" w:rsidR="00CF59EF" w:rsidRDefault="000B5D37">
            <w:pPr>
              <w:spacing w:line="260" w:lineRule="atLeast"/>
              <w:jc w:val="both"/>
              <w:rPr>
                <w:rFonts w:eastAsia="Calibri"/>
                <w:lang w:eastAsia="en-US"/>
              </w:rPr>
            </w:pPr>
            <w:r>
              <w:rPr>
                <w:rFonts w:eastAsia="Calibri"/>
                <w:lang w:eastAsia="en-US"/>
              </w:rPr>
              <w:t>A professional dishwasher washes dishes manually with detergent liquid preserved with the product at a maximal concentration of 2</w:t>
            </w:r>
            <w:r w:rsidR="00C73461">
              <w:rPr>
                <w:rFonts w:eastAsia="Calibri"/>
                <w:lang w:eastAsia="en-US"/>
              </w:rPr>
              <w:t>.</w:t>
            </w:r>
            <w:r>
              <w:rPr>
                <w:rFonts w:eastAsia="Calibri"/>
                <w:lang w:eastAsia="en-US"/>
              </w:rPr>
              <w:t>5% (w/w, expressed as benzoic acid) by hand daily 22 times a day for 16 minutes (approximately 6 hours per day)</w:t>
            </w:r>
          </w:p>
        </w:tc>
      </w:tr>
      <w:tr w:rsidR="00CF59EF" w14:paraId="40A2C2FE" w14:textId="77777777"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A7D104D" w14:textId="77777777"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AE74307"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50309FB" w14:textId="77777777" w:rsidR="00CF59EF" w:rsidRDefault="000B5D37">
            <w:pPr>
              <w:spacing w:line="260" w:lineRule="atLeast"/>
              <w:rPr>
                <w:rFonts w:eastAsia="Calibri"/>
                <w:lang w:eastAsia="en-US"/>
              </w:rPr>
            </w:pPr>
            <w:r>
              <w:rPr>
                <w:rFonts w:eastAsia="Calibri"/>
                <w:lang w:eastAsia="en-US"/>
              </w:rPr>
              <w:t>Value</w:t>
            </w:r>
          </w:p>
        </w:tc>
      </w:tr>
      <w:tr w:rsidR="00EA13B1" w14:paraId="5B0476E9" w14:textId="77777777"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14:paraId="3F1F57D3"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079136B" w14:textId="77777777" w:rsidR="00EA13B1" w:rsidRDefault="00EA13B1">
            <w:pPr>
              <w:spacing w:line="260" w:lineRule="atLeast"/>
              <w:rPr>
                <w:rFonts w:eastAsia="Calibri"/>
                <w:sz w:val="18"/>
                <w:lang w:eastAsia="en-US"/>
              </w:rPr>
            </w:pPr>
            <w:r>
              <w:rPr>
                <w:rFonts w:eastAsia="Calibri"/>
                <w:lang w:eastAsia="en-US"/>
              </w:rPr>
              <w:t>exposure area</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FEABA93" w14:textId="77777777" w:rsidR="00EA13B1" w:rsidRDefault="00F35261">
            <w:pPr>
              <w:spacing w:line="260" w:lineRule="atLeast"/>
              <w:rPr>
                <w:rFonts w:eastAsia="Calibri"/>
                <w:lang w:eastAsia="en-US"/>
              </w:rPr>
            </w:pPr>
            <w:r>
              <w:rPr>
                <w:rFonts w:eastAsia="Calibri"/>
                <w:lang w:eastAsia="en-US"/>
              </w:rPr>
              <w:t xml:space="preserve">1961.2 </w:t>
            </w:r>
            <w:r w:rsidR="00EA13B1">
              <w:rPr>
                <w:rFonts w:eastAsia="Calibri"/>
                <w:lang w:eastAsia="en-US"/>
              </w:rPr>
              <w:t>cm</w:t>
            </w:r>
            <w:r w:rsidR="00EA13B1">
              <w:rPr>
                <w:rFonts w:eastAsia="Calibri"/>
                <w:vertAlign w:val="superscript"/>
                <w:lang w:eastAsia="en-US"/>
              </w:rPr>
              <w:t>2</w:t>
            </w:r>
            <w:r w:rsidR="00EA13B1">
              <w:rPr>
                <w:rFonts w:eastAsia="Calibri"/>
                <w:lang w:eastAsia="en-US"/>
              </w:rPr>
              <w:t xml:space="preserve"> (the area of palms and backs of both hands for an adult)</w:t>
            </w:r>
          </w:p>
        </w:tc>
      </w:tr>
      <w:tr w:rsidR="00EA13B1" w14:paraId="54DD8F65"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5552BCDB"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2241332" w14:textId="77777777" w:rsidR="00EA13B1" w:rsidRDefault="00EA13B1">
            <w:pPr>
              <w:spacing w:line="260" w:lineRule="atLeast"/>
              <w:rPr>
                <w:rFonts w:eastAsia="Calibri"/>
                <w:lang w:eastAsia="en-US"/>
              </w:rPr>
            </w:pPr>
            <w:r>
              <w:rPr>
                <w:rFonts w:eastAsia="Calibri"/>
                <w:lang w:eastAsia="en-US"/>
              </w:rPr>
              <w:t>weight fraction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D0145C0" w14:textId="77777777" w:rsidR="00EA13B1" w:rsidRDefault="00EA13B1">
            <w:pPr>
              <w:spacing w:line="260" w:lineRule="atLeast"/>
              <w:rPr>
                <w:rFonts w:eastAsia="Calibri"/>
                <w:lang w:eastAsia="en-US"/>
              </w:rPr>
            </w:pPr>
            <w:r>
              <w:rPr>
                <w:rFonts w:eastAsia="Calibri"/>
                <w:lang w:eastAsia="en-US"/>
              </w:rPr>
              <w:t>0.0035%</w:t>
            </w:r>
          </w:p>
        </w:tc>
      </w:tr>
      <w:tr w:rsidR="00EA13B1" w14:paraId="29698A84" w14:textId="77777777" w:rsidTr="00EA13B1">
        <w:trPr>
          <w:tblHeader/>
        </w:trPr>
        <w:tc>
          <w:tcPr>
            <w:tcW w:w="1789" w:type="dxa"/>
            <w:vMerge/>
            <w:tcBorders>
              <w:left w:val="single" w:sz="6" w:space="0" w:color="00000A"/>
              <w:right w:val="single" w:sz="6" w:space="0" w:color="00000A"/>
            </w:tcBorders>
            <w:shd w:val="clear" w:color="auto" w:fill="auto"/>
            <w:tcMar>
              <w:left w:w="69" w:type="dxa"/>
            </w:tcMar>
          </w:tcPr>
          <w:p w14:paraId="52D2FBD1"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31370DF" w14:textId="77777777" w:rsidR="00EA13B1" w:rsidRDefault="00EA13B1">
            <w:pPr>
              <w:spacing w:line="260" w:lineRule="atLeast"/>
              <w:rPr>
                <w:rFonts w:eastAsia="Calibri"/>
                <w:lang w:eastAsia="en-US"/>
              </w:rPr>
            </w:pPr>
            <w:r>
              <w:rPr>
                <w:rFonts w:eastAsia="Calibri"/>
                <w:lang w:eastAsia="en-US"/>
              </w:rPr>
              <w:t>Events/day</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BDDDCBA" w14:textId="77777777" w:rsidR="00EA13B1" w:rsidRDefault="00EA13B1">
            <w:pPr>
              <w:spacing w:line="260" w:lineRule="atLeast"/>
              <w:rPr>
                <w:rFonts w:eastAsia="Calibri"/>
                <w:lang w:eastAsia="en-US"/>
              </w:rPr>
            </w:pPr>
            <w:r>
              <w:rPr>
                <w:rFonts w:eastAsia="Calibri"/>
                <w:lang w:eastAsia="en-US"/>
              </w:rPr>
              <w:t>22</w:t>
            </w:r>
          </w:p>
        </w:tc>
      </w:tr>
      <w:tr w:rsidR="00EA13B1" w14:paraId="53B7C133" w14:textId="77777777" w:rsidTr="00EA13B1">
        <w:trPr>
          <w:trHeight w:val="203"/>
          <w:tblHeader/>
        </w:trPr>
        <w:tc>
          <w:tcPr>
            <w:tcW w:w="1789" w:type="dxa"/>
            <w:vMerge/>
            <w:tcBorders>
              <w:left w:val="single" w:sz="6" w:space="0" w:color="00000A"/>
              <w:right w:val="single" w:sz="6" w:space="0" w:color="00000A"/>
            </w:tcBorders>
            <w:shd w:val="clear" w:color="auto" w:fill="auto"/>
            <w:tcMar>
              <w:left w:w="69" w:type="dxa"/>
            </w:tcMar>
          </w:tcPr>
          <w:p w14:paraId="50F3A43F"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DF0EADE" w14:textId="77777777" w:rsidR="00EA13B1" w:rsidRDefault="00EA13B1">
            <w:pPr>
              <w:spacing w:line="260" w:lineRule="atLeast"/>
              <w:rPr>
                <w:rFonts w:eastAsia="Calibri"/>
                <w:lang w:eastAsia="en-US"/>
              </w:rPr>
            </w:pPr>
            <w:r>
              <w:rPr>
                <w:rFonts w:eastAsia="Calibri"/>
                <w:lang w:eastAsia="en-US"/>
              </w:rPr>
              <w:t>Exposure period</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6F024B" w14:textId="77777777" w:rsidR="00EA13B1" w:rsidRDefault="00EA13B1">
            <w:pPr>
              <w:spacing w:line="260" w:lineRule="atLeast"/>
              <w:rPr>
                <w:rFonts w:eastAsia="Calibri"/>
                <w:lang w:eastAsia="en-US"/>
              </w:rPr>
            </w:pPr>
            <w:r>
              <w:rPr>
                <w:rFonts w:eastAsia="Calibri"/>
                <w:lang w:eastAsia="en-US"/>
              </w:rPr>
              <w:t>360 minutes (appr. 22 dish washes)</w:t>
            </w:r>
          </w:p>
        </w:tc>
      </w:tr>
      <w:tr w:rsidR="00EA13B1" w14:paraId="2F13816F" w14:textId="77777777" w:rsidTr="00EA13B1">
        <w:trPr>
          <w:trHeight w:val="203"/>
          <w:tblHeader/>
        </w:trPr>
        <w:tc>
          <w:tcPr>
            <w:tcW w:w="1789" w:type="dxa"/>
            <w:vMerge/>
            <w:tcBorders>
              <w:left w:val="single" w:sz="6" w:space="0" w:color="00000A"/>
              <w:right w:val="single" w:sz="6" w:space="0" w:color="00000A"/>
            </w:tcBorders>
            <w:shd w:val="clear" w:color="auto" w:fill="auto"/>
            <w:tcMar>
              <w:left w:w="69" w:type="dxa"/>
            </w:tcMar>
          </w:tcPr>
          <w:p w14:paraId="4B7BA615"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19F4453" w14:textId="77777777"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60D160B" w14:textId="77777777" w:rsidR="00EA13B1" w:rsidRDefault="00EA13B1">
            <w:pPr>
              <w:spacing w:line="260" w:lineRule="atLeast"/>
              <w:rPr>
                <w:rFonts w:eastAsia="Calibri"/>
                <w:lang w:eastAsia="en-US"/>
              </w:rPr>
            </w:pPr>
            <w:r>
              <w:rPr>
                <w:rFonts w:eastAsia="Calibri"/>
                <w:lang w:eastAsia="en-US"/>
              </w:rPr>
              <w:t>75%</w:t>
            </w:r>
          </w:p>
        </w:tc>
      </w:tr>
      <w:tr w:rsidR="00EA13B1" w14:paraId="5AC7861F" w14:textId="77777777" w:rsidTr="00EA13B1">
        <w:trPr>
          <w:trHeight w:val="203"/>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14:paraId="1A594636" w14:textId="77777777"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DE732A6" w14:textId="77777777"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98EEA83" w14:textId="77777777" w:rsidR="00EA13B1" w:rsidRDefault="00EA13B1">
            <w:pPr>
              <w:spacing w:line="260" w:lineRule="atLeast"/>
              <w:rPr>
                <w:rFonts w:eastAsia="Calibri"/>
                <w:lang w:eastAsia="en-US"/>
              </w:rPr>
            </w:pPr>
            <w:r>
              <w:rPr>
                <w:rFonts w:eastAsia="Calibri"/>
                <w:lang w:eastAsia="en-US"/>
              </w:rPr>
              <w:t>60 kg</w:t>
            </w:r>
          </w:p>
        </w:tc>
      </w:tr>
    </w:tbl>
    <w:p w14:paraId="337127A2" w14:textId="77777777" w:rsidR="00CF59EF" w:rsidRDefault="00CF59EF">
      <w:pPr>
        <w:spacing w:line="260" w:lineRule="atLeast"/>
        <w:rPr>
          <w:rFonts w:eastAsia="Calibri"/>
          <w:lang w:eastAsia="en-US"/>
        </w:rPr>
      </w:pPr>
    </w:p>
    <w:p w14:paraId="170A3990" w14:textId="77777777" w:rsidR="009E1039" w:rsidRDefault="009E1039">
      <w:pPr>
        <w:rPr>
          <w:rFonts w:eastAsia="Calibri"/>
          <w:b/>
          <w:i/>
          <w:sz w:val="22"/>
          <w:szCs w:val="22"/>
          <w:lang w:eastAsia="en-US"/>
        </w:rPr>
      </w:pPr>
    </w:p>
    <w:p w14:paraId="7E4EF644" w14:textId="77777777" w:rsidR="00CF59EF" w:rsidRDefault="000B5D37">
      <w:pPr>
        <w:rPr>
          <w:rFonts w:eastAsia="Calibri"/>
          <w:b/>
          <w:i/>
          <w:sz w:val="22"/>
          <w:szCs w:val="22"/>
          <w:lang w:eastAsia="en-US"/>
        </w:rPr>
      </w:pPr>
      <w:r>
        <w:rPr>
          <w:rFonts w:eastAsia="Calibri"/>
          <w:b/>
          <w:i/>
          <w:sz w:val="22"/>
          <w:szCs w:val="22"/>
          <w:lang w:eastAsia="en-US"/>
        </w:rPr>
        <w:t>Calculations for Scenario 6</w:t>
      </w:r>
    </w:p>
    <w:p w14:paraId="364A8E4F" w14:textId="77777777" w:rsidR="00CF59EF" w:rsidRDefault="000B5D37">
      <w:pPr>
        <w:rPr>
          <w:rFonts w:eastAsia="Calibri"/>
          <w:iCs/>
          <w:lang w:eastAsia="en-US"/>
        </w:rPr>
      </w:pPr>
      <w:r>
        <w:rPr>
          <w:rFonts w:eastAsia="Calibri"/>
          <w:lang w:eastAsia="en-US"/>
        </w:rPr>
        <w:t>Dishwashing may be performed manually by professionals with d</w:t>
      </w:r>
      <w:r>
        <w:rPr>
          <w:rFonts w:eastAsia="Calibri"/>
          <w:iCs/>
          <w:lang w:eastAsia="en-US"/>
        </w:rPr>
        <w:t xml:space="preserve">ishwashing liquid preserved with sodium benzoate at a maximal concentration of 2.5% (expressed as benzoic acid) for maximum 6 hours per day. The default exposure scenario from </w:t>
      </w:r>
      <w:proofErr w:type="spellStart"/>
      <w:r>
        <w:rPr>
          <w:rFonts w:eastAsia="Calibri"/>
          <w:iCs/>
          <w:lang w:eastAsia="en-US"/>
        </w:rPr>
        <w:t>ConsExpo</w:t>
      </w:r>
      <w:proofErr w:type="spellEnd"/>
      <w:r w:rsidR="005B6320">
        <w:rPr>
          <w:rFonts w:eastAsia="Calibri"/>
          <w:iCs/>
          <w:lang w:eastAsia="en-US"/>
        </w:rPr>
        <w:t> </w:t>
      </w:r>
      <w:r>
        <w:rPr>
          <w:rFonts w:eastAsia="Calibri"/>
          <w:iCs/>
          <w:lang w:eastAsia="en-US"/>
        </w:rPr>
        <w:t xml:space="preserve">4.1 was used to perform the calculations. Application duration was considered to be 16 minutes (default </w:t>
      </w:r>
      <w:proofErr w:type="spellStart"/>
      <w:r>
        <w:rPr>
          <w:rFonts w:eastAsia="Calibri"/>
          <w:iCs/>
          <w:lang w:eastAsia="en-US"/>
        </w:rPr>
        <w:t>ConsExpo</w:t>
      </w:r>
      <w:proofErr w:type="spellEnd"/>
      <w:r>
        <w:rPr>
          <w:rFonts w:eastAsia="Calibri"/>
          <w:iCs/>
          <w:lang w:eastAsia="en-US"/>
        </w:rPr>
        <w:t xml:space="preserve"> 4.1), therefore a full time manual dishwasher is considered to perform approximately 22 dish washes per day.</w:t>
      </w:r>
    </w:p>
    <w:p w14:paraId="65422D10" w14:textId="77777777" w:rsidR="00CF59EF" w:rsidRDefault="000B5D37">
      <w:pPr>
        <w:rPr>
          <w:rFonts w:eastAsia="Calibri"/>
          <w:iCs/>
          <w:lang w:eastAsia="en-US"/>
        </w:rPr>
      </w:pPr>
      <w:r>
        <w:rPr>
          <w:rFonts w:eastAsia="Calibri"/>
          <w:iCs/>
          <w:lang w:eastAsia="en-US"/>
        </w:rPr>
        <w:t>The default scenario assumes that the consumer adds the dishwashing liquid to a sink filled with water with a total volume of 15 L. The amount of the dishwashing liquid added to water is assumed to be 7 g  per 5000 mL water, which is equal to a dilution of ca. 714 times. Therefore the resulting weight fraction of sodium benzoate in the generated solution is calculated as (2.5%/714 =) 0.0035%. As the vapour pressure of sodium benzoate is extremely low, its evaporation from aqueous solution is considered to be negligible; thus no respiratory exposure is expected.</w:t>
      </w:r>
    </w:p>
    <w:p w14:paraId="36C799C7" w14:textId="77777777" w:rsidR="00CF59EF" w:rsidRDefault="000B5D37">
      <w:pPr>
        <w:rPr>
          <w:rFonts w:eastAsia="Calibri"/>
          <w:iCs/>
          <w:lang w:eastAsia="en-US"/>
        </w:rPr>
      </w:pPr>
      <w:r>
        <w:rPr>
          <w:rFonts w:eastAsia="Calibri"/>
          <w:iCs/>
          <w:lang w:eastAsia="en-US"/>
        </w:rPr>
        <w:t xml:space="preserve">For dermal exposure, the exposed area was set to </w:t>
      </w:r>
      <w:r w:rsidR="00C731A6" w:rsidRPr="002C30D1">
        <w:rPr>
          <w:rFonts w:eastAsia="Calibri"/>
          <w:iCs/>
          <w:highlight w:val="yellow"/>
          <w:lang w:eastAsia="en-US"/>
        </w:rPr>
        <w:t>1948.8</w:t>
      </w:r>
      <w:r w:rsidR="00F35261">
        <w:rPr>
          <w:rFonts w:eastAsia="Calibri"/>
          <w:iCs/>
          <w:lang w:eastAsia="en-US"/>
        </w:rPr>
        <w:t xml:space="preserve"> </w:t>
      </w:r>
      <w:r>
        <w:rPr>
          <w:rFonts w:eastAsia="Calibri"/>
          <w:iCs/>
          <w:lang w:eastAsia="en-US"/>
        </w:rPr>
        <w:t>cm</w:t>
      </w:r>
      <w:r>
        <w:rPr>
          <w:rFonts w:eastAsia="Calibri"/>
          <w:iCs/>
          <w:vertAlign w:val="superscript"/>
          <w:lang w:eastAsia="en-US"/>
        </w:rPr>
        <w:t>2</w:t>
      </w:r>
      <w:r>
        <w:rPr>
          <w:rFonts w:eastAsia="Calibri"/>
          <w:iCs/>
          <w:lang w:eastAsia="en-US"/>
        </w:rPr>
        <w:t xml:space="preserve"> (the area of palms and backs of both hands</w:t>
      </w:r>
      <w:r w:rsidR="00F35261">
        <w:rPr>
          <w:rFonts w:eastAsia="Calibri"/>
          <w:iCs/>
          <w:lang w:eastAsia="en-US"/>
        </w:rPr>
        <w:t>, and forearms</w:t>
      </w:r>
      <w:r>
        <w:rPr>
          <w:rFonts w:eastAsia="Calibri"/>
          <w:iCs/>
          <w:lang w:eastAsia="en-US"/>
        </w:rPr>
        <w:t xml:space="preserve"> for an adult), while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(2012). It is considered that the water layer of 0.01 cm (default) comes into contact with the consumer skin; respectively, the amount of water containing product which can get absorbed through the skin, is calculated as (</w:t>
      </w:r>
      <w:r w:rsidR="00C731A6" w:rsidRPr="002C30D1">
        <w:rPr>
          <w:rFonts w:eastAsia="Calibri"/>
          <w:iCs/>
          <w:highlight w:val="yellow"/>
          <w:lang w:eastAsia="en-US"/>
        </w:rPr>
        <w:t>1948.8</w:t>
      </w:r>
      <w:r w:rsidR="00F35261">
        <w:rPr>
          <w:rFonts w:eastAsia="Calibri"/>
          <w:iCs/>
          <w:lang w:eastAsia="en-US"/>
        </w:rPr>
        <w:t xml:space="preserve"> </w:t>
      </w:r>
      <w:r>
        <w:rPr>
          <w:rFonts w:eastAsia="Calibri"/>
          <w:iCs/>
          <w:lang w:eastAsia="en-US"/>
        </w:rPr>
        <w:t>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F35261">
        <w:rPr>
          <w:rFonts w:eastAsia="Calibri"/>
          <w:iCs/>
          <w:lang w:eastAsia="en-US"/>
        </w:rPr>
        <w:t>19.</w:t>
      </w:r>
      <w:r w:rsidR="00C731A6" w:rsidRPr="002C30D1">
        <w:rPr>
          <w:rFonts w:eastAsia="Calibri"/>
          <w:iCs/>
          <w:highlight w:val="yellow"/>
          <w:lang w:eastAsia="en-US"/>
        </w:rPr>
        <w:t>5</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w:t>
      </w:r>
      <w:r w:rsidRPr="009956E7">
        <w:rPr>
          <w:rFonts w:eastAsia="Calibri"/>
          <w:iCs/>
          <w:strike/>
          <w:highlight w:val="yellow"/>
          <w:lang w:eastAsia="en-US"/>
        </w:rPr>
        <w:t>The resulting exposure estimates are presented in Annex 3.2</w:t>
      </w:r>
      <w:r w:rsidRPr="002C30D1">
        <w:rPr>
          <w:rFonts w:eastAsia="Calibri"/>
          <w:iCs/>
          <w:highlight w:val="yellow"/>
          <w:lang w:eastAsia="en-US"/>
        </w:rPr>
        <w:t>.</w:t>
      </w:r>
      <w:r>
        <w:rPr>
          <w:rFonts w:eastAsia="Calibri"/>
          <w:iCs/>
          <w:lang w:eastAsia="en-US"/>
        </w:rPr>
        <w:t xml:space="preserve"> The internal systemic exposure to sodium benzoate is equal to </w:t>
      </w:r>
      <w:r w:rsidR="00F66985" w:rsidRPr="002C30D1">
        <w:rPr>
          <w:rFonts w:eastAsia="Calibri"/>
          <w:iCs/>
          <w:highlight w:val="yellow"/>
          <w:lang w:eastAsia="en-US"/>
        </w:rPr>
        <w:t>8.</w:t>
      </w:r>
      <w:r w:rsidR="00712411" w:rsidRPr="002C30D1">
        <w:rPr>
          <w:rFonts w:eastAsia="Calibri"/>
          <w:iCs/>
          <w:highlight w:val="yellow"/>
          <w:lang w:eastAsia="en-US"/>
        </w:rPr>
        <w:t>5</w:t>
      </w:r>
      <w:r w:rsidR="00F66985" w:rsidRPr="002C30D1">
        <w:rPr>
          <w:rFonts w:eastAsia="Calibri"/>
          <w:iCs/>
          <w:highlight w:val="yellow"/>
          <w:lang w:eastAsia="en-US"/>
        </w:rPr>
        <w:t>x10</w:t>
      </w:r>
      <w:r w:rsidR="00F66985" w:rsidRPr="002C30D1">
        <w:rPr>
          <w:rFonts w:eastAsia="Calibri"/>
          <w:iCs/>
          <w:highlight w:val="yellow"/>
          <w:vertAlign w:val="superscript"/>
          <w:lang w:eastAsia="en-US"/>
        </w:rPr>
        <w:t>-6</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 xml:space="preserve"> per event</w:t>
      </w:r>
      <w:r w:rsidR="00C73461">
        <w:rPr>
          <w:rFonts w:eastAsia="Calibri"/>
          <w:iCs/>
          <w:lang w:eastAsia="en-US"/>
        </w:rPr>
        <w:t xml:space="preserve"> (</w:t>
      </w:r>
      <w:r w:rsidR="003E4E55">
        <w:rPr>
          <w:rFonts w:eastAsia="Calibri"/>
          <w:iCs/>
          <w:lang w:eastAsia="en-US"/>
        </w:rPr>
        <w:t>(</w:t>
      </w:r>
      <w:r w:rsidR="00F35261">
        <w:rPr>
          <w:rFonts w:eastAsia="Calibri"/>
          <w:iCs/>
          <w:lang w:eastAsia="en-US"/>
        </w:rPr>
        <w:t>19.</w:t>
      </w:r>
      <w:r w:rsidR="00C731A6" w:rsidRPr="002C30D1">
        <w:rPr>
          <w:rFonts w:eastAsia="Calibri"/>
          <w:iCs/>
          <w:highlight w:val="yellow"/>
          <w:lang w:eastAsia="en-US"/>
        </w:rPr>
        <w:t>5</w:t>
      </w:r>
      <w:r w:rsidR="00C73461">
        <w:rPr>
          <w:rFonts w:eastAsia="Calibri"/>
          <w:iCs/>
          <w:lang w:eastAsia="en-US"/>
        </w:rPr>
        <w:t>x0.0035%x</w:t>
      </w:r>
      <w:r w:rsidR="003E4E55">
        <w:rPr>
          <w:rFonts w:eastAsia="Calibri"/>
          <w:iCs/>
          <w:lang w:eastAsia="en-US"/>
        </w:rPr>
        <w:t>75%);60</w:t>
      </w:r>
      <w:r w:rsidR="00C73461">
        <w:rPr>
          <w:rFonts w:eastAsia="Calibri"/>
          <w:iCs/>
          <w:lang w:eastAsia="en-US"/>
        </w:rPr>
        <w:t>)</w:t>
      </w:r>
      <w:r>
        <w:rPr>
          <w:rFonts w:eastAsia="Calibri"/>
          <w:iCs/>
          <w:lang w:eastAsia="en-US"/>
        </w:rPr>
        <w:t>, or, considering 22 applications per day</w:t>
      </w:r>
      <w:r w:rsidR="005B6320">
        <w:rPr>
          <w:rFonts w:eastAsia="Calibri"/>
          <w:iCs/>
          <w:lang w:eastAsia="en-US"/>
        </w:rPr>
        <w:t>,</w:t>
      </w:r>
      <w:r w:rsidR="003E4E55">
        <w:rPr>
          <w:rFonts w:eastAsia="Calibri"/>
          <w:iCs/>
          <w:lang w:eastAsia="en-US"/>
        </w:rPr>
        <w:t xml:space="preserve"> </w:t>
      </w:r>
      <w:r w:rsidR="00F66985" w:rsidRPr="002C30D1">
        <w:rPr>
          <w:rFonts w:eastAsia="Calibri"/>
          <w:iCs/>
          <w:highlight w:val="yellow"/>
          <w:lang w:eastAsia="en-US"/>
        </w:rPr>
        <w:t>1.9x10</w:t>
      </w:r>
      <w:r w:rsidR="00F66985" w:rsidRPr="002C30D1">
        <w:rPr>
          <w:rFonts w:eastAsia="Calibri"/>
          <w:iCs/>
          <w:highlight w:val="yellow"/>
          <w:vertAlign w:val="superscript"/>
          <w:lang w:eastAsia="en-US"/>
        </w:rPr>
        <w:t>-4</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 xml:space="preserve">/day.  </w:t>
      </w:r>
    </w:p>
    <w:p w14:paraId="22632E67" w14:textId="77777777" w:rsidR="00CF59EF" w:rsidRDefault="00CF59EF">
      <w:pPr>
        <w:rPr>
          <w:rFonts w:eastAsia="Calibri"/>
          <w:iCs/>
          <w:lang w:eastAsia="en-US"/>
        </w:rPr>
      </w:pPr>
    </w:p>
    <w:p w14:paraId="51F7E75B" w14:textId="77777777" w:rsidR="00CF59EF" w:rsidRDefault="00CF59EF">
      <w:pPr>
        <w:rPr>
          <w:rFonts w:eastAsia="Calibri"/>
          <w:iCs/>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205"/>
        <w:gridCol w:w="1701"/>
        <w:gridCol w:w="1559"/>
        <w:gridCol w:w="1702"/>
        <w:gridCol w:w="1417"/>
        <w:gridCol w:w="1841"/>
      </w:tblGrid>
      <w:tr w:rsidR="00CF59EF" w14:paraId="1B7FBE93" w14:textId="77777777">
        <w:trPr>
          <w:cantSplit/>
          <w:tblHeader/>
        </w:trPr>
        <w:tc>
          <w:tcPr>
            <w:tcW w:w="9424"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2E7361E8" w14:textId="77777777" w:rsidR="00CF59EF" w:rsidRDefault="000B5D37">
            <w:pPr>
              <w:spacing w:line="260" w:lineRule="atLeast"/>
              <w:jc w:val="center"/>
              <w:rPr>
                <w:rFonts w:eastAsia="Calibri"/>
                <w:b/>
                <w:lang w:eastAsia="en-US"/>
              </w:rPr>
            </w:pPr>
            <w:r>
              <w:rPr>
                <w:rFonts w:eastAsia="Calibri"/>
                <w:b/>
                <w:lang w:eastAsia="en-US"/>
              </w:rPr>
              <w:lastRenderedPageBreak/>
              <w:t>Summary table: systemic exposure from professional uses</w:t>
            </w:r>
          </w:p>
        </w:tc>
      </w:tr>
      <w:tr w:rsidR="00CF59EF" w14:paraId="6037733F"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BED736" w14:textId="77777777" w:rsidR="00CF59EF" w:rsidRDefault="000B5D3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A52E2DF" w14:textId="77777777" w:rsidR="00CF59EF" w:rsidRDefault="000B5D37">
            <w:pPr>
              <w:spacing w:line="260" w:lineRule="atLeast"/>
              <w:rPr>
                <w:rFonts w:eastAsia="Calibri"/>
                <w:b/>
                <w:lang w:eastAsia="en-US"/>
              </w:rPr>
            </w:pPr>
            <w:r>
              <w:rPr>
                <w:rFonts w:eastAsia="Calibri"/>
                <w:b/>
                <w:lang w:eastAsia="en-US"/>
              </w:rPr>
              <w:t>Tier/PPE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8D65DF3" w14:textId="77777777" w:rsidR="00CF59EF" w:rsidRDefault="000B5D37">
            <w:pPr>
              <w:spacing w:line="260" w:lineRule="atLeast"/>
              <w:rPr>
                <w:rFonts w:eastAsia="Calibri"/>
                <w:b/>
                <w:lang w:eastAsia="en-US"/>
              </w:rPr>
            </w:pPr>
            <w:r>
              <w:rPr>
                <w:rFonts w:eastAsia="Calibri"/>
                <w:b/>
                <w:lang w:eastAsia="en-US"/>
              </w:rPr>
              <w:t>Estimated inhalation uptake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2DF246C" w14:textId="77777777" w:rsidR="00CF59EF" w:rsidRDefault="000B5D37">
            <w:pPr>
              <w:spacing w:line="260" w:lineRule="atLeast"/>
              <w:rPr>
                <w:rFonts w:eastAsia="Calibri"/>
                <w:b/>
                <w:lang w:eastAsia="en-US"/>
              </w:rPr>
            </w:pPr>
            <w:r>
              <w:rPr>
                <w:rFonts w:eastAsia="Calibri"/>
                <w:b/>
                <w:lang w:eastAsia="en-US"/>
              </w:rPr>
              <w:t>Estimated dermal uptake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585015A" w14:textId="77777777" w:rsidR="00CF59EF" w:rsidRDefault="000B5D37">
            <w:pPr>
              <w:spacing w:line="260" w:lineRule="atLeast"/>
              <w:rPr>
                <w:rFonts w:eastAsia="Calibri"/>
                <w:b/>
                <w:lang w:eastAsia="en-US"/>
              </w:rPr>
            </w:pPr>
            <w:r>
              <w:rPr>
                <w:rFonts w:eastAsia="Calibri"/>
                <w:b/>
                <w:lang w:eastAsia="en-US"/>
              </w:rPr>
              <w:t>Estimated oral uptake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A91A36E" w14:textId="77777777" w:rsidR="00CF59EF" w:rsidRDefault="000B5D37">
            <w:pPr>
              <w:spacing w:line="260" w:lineRule="atLeast"/>
              <w:rPr>
                <w:rFonts w:eastAsia="Calibri"/>
                <w:b/>
                <w:lang w:eastAsia="en-US"/>
              </w:rPr>
            </w:pPr>
            <w:r>
              <w:rPr>
                <w:rFonts w:eastAsia="Calibri"/>
                <w:b/>
                <w:lang w:eastAsia="en-US"/>
              </w:rPr>
              <w:t>Estimated total uptake*</w:t>
            </w:r>
          </w:p>
        </w:tc>
      </w:tr>
      <w:tr w:rsidR="00CF59EF" w14:paraId="22938651"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A4D323F" w14:textId="77777777" w:rsidR="00CF59EF" w:rsidRDefault="000B5D37">
            <w:pPr>
              <w:spacing w:line="260" w:lineRule="atLeast"/>
              <w:rPr>
                <w:rFonts w:eastAsia="Calibri"/>
                <w:lang w:eastAsia="en-US"/>
              </w:rPr>
            </w:pPr>
            <w:r>
              <w:rPr>
                <w:rFonts w:eastAsia="Calibri"/>
                <w:lang w:eastAsia="en-US"/>
              </w:rPr>
              <w:t>Scenario 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8D661E"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1934E75"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B35DC3B" w14:textId="77777777" w:rsidR="00CF59EF" w:rsidRDefault="000B5D37">
            <w:pPr>
              <w:spacing w:line="260" w:lineRule="atLeast"/>
              <w:rPr>
                <w:rFonts w:eastAsia="Calibri"/>
                <w:lang w:eastAsia="en-US"/>
              </w:rPr>
            </w:pPr>
            <w:r>
              <w:rPr>
                <w:rFonts w:eastAsia="Calibri"/>
                <w:lang w:eastAsia="en-US"/>
              </w:rPr>
              <w:t xml:space="preserve">0.0626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C4EBBB2"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38363AC" w14:textId="77777777" w:rsidR="00CF59EF" w:rsidRDefault="000B5D37">
            <w:pPr>
              <w:spacing w:line="260" w:lineRule="atLeast"/>
              <w:rPr>
                <w:rFonts w:eastAsia="Calibri"/>
                <w:lang w:eastAsia="en-US"/>
              </w:rPr>
            </w:pPr>
            <w:r>
              <w:rPr>
                <w:rFonts w:eastAsia="Calibri"/>
                <w:lang w:eastAsia="en-US"/>
              </w:rPr>
              <w:t xml:space="preserve">0.0626 mg/kg </w:t>
            </w:r>
            <w:proofErr w:type="spellStart"/>
            <w:r>
              <w:rPr>
                <w:rFonts w:eastAsia="Calibri"/>
                <w:lang w:eastAsia="en-US"/>
              </w:rPr>
              <w:t>bw</w:t>
            </w:r>
            <w:proofErr w:type="spellEnd"/>
            <w:r>
              <w:rPr>
                <w:rFonts w:eastAsia="Calibri"/>
                <w:lang w:eastAsia="en-US"/>
              </w:rPr>
              <w:t>/day</w:t>
            </w:r>
          </w:p>
        </w:tc>
      </w:tr>
      <w:tr w:rsidR="00CF59EF" w14:paraId="24CA570B"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0949A2F" w14:textId="77777777" w:rsidR="00CF59EF" w:rsidRDefault="000B5D37">
            <w:pPr>
              <w:spacing w:line="260" w:lineRule="atLeast"/>
              <w:rPr>
                <w:rFonts w:eastAsia="Calibri"/>
                <w:lang w:eastAsia="en-US"/>
              </w:rPr>
            </w:pPr>
            <w:r>
              <w:rPr>
                <w:rFonts w:eastAsia="Calibri"/>
                <w:lang w:eastAsia="en-US"/>
              </w:rPr>
              <w:t>Scenario 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FEBBEDD"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205EA33"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7F645B3" w14:textId="77777777" w:rsidR="00CF59EF" w:rsidRDefault="000B5D37">
            <w:pPr>
              <w:spacing w:line="260" w:lineRule="atLeast"/>
              <w:rPr>
                <w:rFonts w:eastAsia="Calibri"/>
                <w:lang w:eastAsia="en-US"/>
              </w:rPr>
            </w:pPr>
            <w:r>
              <w:rPr>
                <w:rFonts w:eastAsia="Calibri"/>
                <w:lang w:eastAsia="en-US"/>
              </w:rPr>
              <w:t xml:space="preserve">1.92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DDCAD15"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5E8F34C" w14:textId="77777777" w:rsidR="00CF59EF" w:rsidRDefault="000B5D37">
            <w:pPr>
              <w:spacing w:line="260" w:lineRule="atLeast"/>
              <w:rPr>
                <w:rFonts w:eastAsia="Calibri"/>
                <w:lang w:eastAsia="en-US"/>
              </w:rPr>
            </w:pPr>
            <w:r>
              <w:rPr>
                <w:rFonts w:eastAsia="Calibri"/>
                <w:lang w:eastAsia="en-US"/>
              </w:rPr>
              <w:t xml:space="preserve">1.92 mg/kg </w:t>
            </w:r>
            <w:proofErr w:type="spellStart"/>
            <w:r>
              <w:rPr>
                <w:rFonts w:eastAsia="Calibri"/>
                <w:lang w:eastAsia="en-US"/>
              </w:rPr>
              <w:t>bw</w:t>
            </w:r>
            <w:proofErr w:type="spellEnd"/>
            <w:r>
              <w:rPr>
                <w:rFonts w:eastAsia="Calibri"/>
                <w:lang w:eastAsia="en-US"/>
              </w:rPr>
              <w:t>/day</w:t>
            </w:r>
          </w:p>
        </w:tc>
      </w:tr>
      <w:tr w:rsidR="00CF59EF" w14:paraId="4B6D1F76"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17A0FD3" w14:textId="77777777" w:rsidR="00CF59EF" w:rsidRDefault="000B5D37">
            <w:pPr>
              <w:spacing w:line="260" w:lineRule="atLeast"/>
              <w:rPr>
                <w:rFonts w:eastAsia="Calibri"/>
                <w:lang w:eastAsia="en-US"/>
              </w:rPr>
            </w:pPr>
            <w:r>
              <w:rPr>
                <w:rFonts w:eastAsia="Calibri"/>
                <w:lang w:eastAsia="en-US"/>
              </w:rPr>
              <w:t>Scenario 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2BDC86D"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5BECEFA"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416EF71" w14:textId="77777777" w:rsidR="00CF59EF" w:rsidRDefault="000B5D37">
            <w:pPr>
              <w:spacing w:line="260" w:lineRule="atLeast"/>
              <w:rPr>
                <w:rFonts w:eastAsia="Calibri"/>
                <w:lang w:eastAsia="en-US"/>
              </w:rPr>
            </w:pPr>
            <w:r>
              <w:rPr>
                <w:rFonts w:eastAsia="Calibri"/>
                <w:lang w:eastAsia="en-US"/>
              </w:rPr>
              <w:t xml:space="preserve">0.95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EEC7260"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FECD325" w14:textId="77777777" w:rsidR="00CF59EF" w:rsidRDefault="000B5D37">
            <w:pPr>
              <w:spacing w:line="260" w:lineRule="atLeast"/>
              <w:rPr>
                <w:rFonts w:eastAsia="Calibri"/>
                <w:lang w:eastAsia="en-US"/>
              </w:rPr>
            </w:pPr>
            <w:r>
              <w:rPr>
                <w:rFonts w:eastAsia="Calibri"/>
                <w:lang w:eastAsia="en-US"/>
              </w:rPr>
              <w:t xml:space="preserve">0.95 mg/kg </w:t>
            </w:r>
            <w:proofErr w:type="spellStart"/>
            <w:r>
              <w:rPr>
                <w:rFonts w:eastAsia="Calibri"/>
                <w:lang w:eastAsia="en-US"/>
              </w:rPr>
              <w:t>bw</w:t>
            </w:r>
            <w:proofErr w:type="spellEnd"/>
            <w:r>
              <w:rPr>
                <w:rFonts w:eastAsia="Calibri"/>
                <w:lang w:eastAsia="en-US"/>
              </w:rPr>
              <w:t>/day</w:t>
            </w:r>
          </w:p>
        </w:tc>
      </w:tr>
      <w:tr w:rsidR="00CF59EF" w14:paraId="6C5953A0"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45CD6B9" w14:textId="77777777" w:rsidR="00CF59EF" w:rsidRDefault="000B5D37">
            <w:pPr>
              <w:spacing w:line="260" w:lineRule="atLeast"/>
              <w:rPr>
                <w:rFonts w:eastAsia="Calibri"/>
                <w:lang w:eastAsia="en-US"/>
              </w:rPr>
            </w:pPr>
            <w:r>
              <w:rPr>
                <w:rFonts w:eastAsia="Calibri"/>
                <w:lang w:eastAsia="en-US"/>
              </w:rPr>
              <w:t>Scenario 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8A63D6A"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C8EECEA" w14:textId="77777777" w:rsidR="00CF59EF" w:rsidRDefault="000B5D3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r>
              <w:rPr>
                <w:rFonts w:eastAsia="Calibri"/>
                <w:lang w:eastAsia="en-US"/>
              </w:rPr>
              <w:t>/day</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223ABF2" w14:textId="77777777" w:rsidR="00CF59EF" w:rsidRDefault="000B5D37">
            <w:pPr>
              <w:spacing w:line="260" w:lineRule="atLeast"/>
              <w:rPr>
                <w:rFonts w:eastAsia="Calibri"/>
                <w:lang w:eastAsia="en-US"/>
              </w:rPr>
            </w:pPr>
            <w:r>
              <w:rPr>
                <w:rFonts w:eastAsia="Calibri"/>
                <w:lang w:eastAsia="en-US"/>
              </w:rPr>
              <w:t xml:space="preserve">0.3375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D881BB6"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99BE2D1" w14:textId="77777777" w:rsidR="00CF59EF" w:rsidRDefault="000B5D37">
            <w:pPr>
              <w:spacing w:line="260" w:lineRule="atLeast"/>
              <w:rPr>
                <w:rFonts w:eastAsia="Calibri"/>
                <w:lang w:eastAsia="en-US"/>
              </w:rPr>
            </w:pPr>
            <w:r>
              <w:rPr>
                <w:rFonts w:eastAsia="Calibri"/>
                <w:lang w:eastAsia="en-US"/>
              </w:rPr>
              <w:t xml:space="preserve">0.340 mg/kg </w:t>
            </w:r>
            <w:proofErr w:type="spellStart"/>
            <w:r>
              <w:rPr>
                <w:rFonts w:eastAsia="Calibri"/>
                <w:lang w:eastAsia="en-US"/>
              </w:rPr>
              <w:t>bw</w:t>
            </w:r>
            <w:proofErr w:type="spellEnd"/>
            <w:r>
              <w:rPr>
                <w:rFonts w:eastAsia="Calibri"/>
                <w:lang w:eastAsia="en-US"/>
              </w:rPr>
              <w:t xml:space="preserve">/day </w:t>
            </w:r>
          </w:p>
        </w:tc>
      </w:tr>
      <w:tr w:rsidR="00CF59EF" w14:paraId="16849C2B" w14:textId="77777777">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EA09F3" w14:textId="77777777" w:rsidR="00CF59EF" w:rsidRDefault="000B5D37">
            <w:pPr>
              <w:spacing w:line="260" w:lineRule="atLeast"/>
              <w:rPr>
                <w:rFonts w:eastAsia="Calibri"/>
                <w:lang w:eastAsia="en-US"/>
              </w:rPr>
            </w:pPr>
            <w:r>
              <w:rPr>
                <w:rFonts w:eastAsia="Calibri"/>
                <w:lang w:eastAsia="en-US"/>
              </w:rPr>
              <w:t>Scenario 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28C8D9C"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5218DD0"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34A2CDF" w14:textId="77777777" w:rsidR="00CF59EF" w:rsidRDefault="00712411" w:rsidP="00F35261">
            <w:pPr>
              <w:spacing w:line="260" w:lineRule="atLeast"/>
              <w:rPr>
                <w:rFonts w:eastAsia="Calibri"/>
                <w:lang w:eastAsia="en-US"/>
              </w:rPr>
            </w:pPr>
            <w:r w:rsidRPr="002C30D1">
              <w:rPr>
                <w:rFonts w:eastAsia="Calibri"/>
                <w:iCs/>
                <w:highlight w:val="yellow"/>
                <w:lang w:eastAsia="en-US"/>
              </w:rPr>
              <w:t>1.9x10</w:t>
            </w:r>
            <w:r w:rsidRPr="002C30D1">
              <w:rPr>
                <w:rFonts w:eastAsia="Calibri"/>
                <w:iCs/>
                <w:highlight w:val="yellow"/>
                <w:vertAlign w:val="superscript"/>
                <w:lang w:eastAsia="en-US"/>
              </w:rPr>
              <w:t>-4</w:t>
            </w:r>
            <w:r>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FA8255A"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0ADCC55" w14:textId="77777777" w:rsidR="00CF59EF" w:rsidRDefault="00712411" w:rsidP="00F35261">
            <w:pPr>
              <w:spacing w:line="260" w:lineRule="atLeast"/>
              <w:rPr>
                <w:rFonts w:eastAsia="Calibri"/>
                <w:lang w:eastAsia="en-US"/>
              </w:rPr>
            </w:pPr>
            <w:r w:rsidRPr="002C30D1">
              <w:rPr>
                <w:rFonts w:eastAsia="Calibri"/>
                <w:iCs/>
                <w:highlight w:val="yellow"/>
                <w:lang w:eastAsia="en-US"/>
              </w:rPr>
              <w:t>1.9x10</w:t>
            </w:r>
            <w:r w:rsidRPr="002C30D1">
              <w:rPr>
                <w:rFonts w:eastAsia="Calibri"/>
                <w:iCs/>
                <w:highlight w:val="yellow"/>
                <w:vertAlign w:val="superscript"/>
                <w:lang w:eastAsia="en-US"/>
              </w:rPr>
              <w:t>-4</w:t>
            </w:r>
            <w:r>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bl>
    <w:p w14:paraId="7867D571" w14:textId="77777777"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14:paraId="42743641" w14:textId="77777777" w:rsidR="00CF59EF" w:rsidRDefault="00CF59EF">
      <w:pPr>
        <w:spacing w:line="260" w:lineRule="atLeast"/>
        <w:rPr>
          <w:rFonts w:eastAsia="Calibri"/>
          <w:lang w:eastAsia="en-US"/>
        </w:rPr>
      </w:pPr>
    </w:p>
    <w:p w14:paraId="7F522C28" w14:textId="77777777" w:rsidR="00CF59EF" w:rsidRDefault="000B5D37">
      <w:pPr>
        <w:rPr>
          <w:rFonts w:eastAsia="Calibri"/>
          <w:i/>
          <w:sz w:val="22"/>
          <w:szCs w:val="22"/>
          <w:u w:val="single"/>
          <w:lang w:eastAsia="en-US"/>
        </w:rPr>
      </w:pPr>
      <w:r>
        <w:rPr>
          <w:rFonts w:eastAsia="Calibri"/>
          <w:i/>
          <w:sz w:val="22"/>
          <w:szCs w:val="22"/>
          <w:u w:val="single"/>
          <w:lang w:eastAsia="en-US"/>
        </w:rPr>
        <w:t>Combined scenarios</w:t>
      </w:r>
    </w:p>
    <w:p w14:paraId="0E7504DA" w14:textId="77777777" w:rsidR="00CF59EF" w:rsidRDefault="00CF59EF">
      <w:pPr>
        <w:spacing w:line="260" w:lineRule="atLeast"/>
        <w:rPr>
          <w:rFonts w:eastAsia="Calibri"/>
          <w:lang w:eastAsia="en-US"/>
        </w:rPr>
      </w:pPr>
    </w:p>
    <w:p w14:paraId="3A47DEA9" w14:textId="77777777" w:rsidR="00CF59EF" w:rsidRDefault="000B5D37">
      <w:pPr>
        <w:spacing w:line="260" w:lineRule="atLeast"/>
        <w:rPr>
          <w:rFonts w:eastAsia="Calibri"/>
          <w:lang w:eastAsia="en-US"/>
        </w:rPr>
      </w:pPr>
      <w:r>
        <w:rPr>
          <w:rFonts w:eastAsia="Calibri"/>
          <w:lang w:eastAsia="en-US"/>
        </w:rPr>
        <w:t xml:space="preserve">It is assumed that the same cleaners can perform both mopping and wiping tasks, as well as the surface cleaning using hand-held trigger sprays. Therefore a total combined systemic exposure for scenarios 3 (mopping), 4 (wiping) and 5 (trigger spraying) has been calculated. </w:t>
      </w:r>
    </w:p>
    <w:p w14:paraId="7235CD76" w14:textId="77777777"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CF59EF" w14:paraId="59A0D97A" w14:textId="77777777">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1518206E" w14:textId="77777777" w:rsidR="00CF59EF" w:rsidRDefault="000B5D37">
            <w:pPr>
              <w:spacing w:line="260" w:lineRule="atLeast"/>
              <w:jc w:val="center"/>
              <w:rPr>
                <w:rFonts w:eastAsia="Calibri"/>
                <w:b/>
                <w:lang w:eastAsia="en-US"/>
              </w:rPr>
            </w:pPr>
            <w:r>
              <w:rPr>
                <w:rFonts w:eastAsia="Calibri"/>
                <w:b/>
                <w:lang w:eastAsia="en-US"/>
              </w:rPr>
              <w:t>Summary table: combined systemic exposure from professional uses</w:t>
            </w:r>
          </w:p>
        </w:tc>
      </w:tr>
      <w:tr w:rsidR="00CF59EF" w14:paraId="071EDEE2" w14:textId="7777777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AC3FC09" w14:textId="77777777" w:rsidR="00CF59EF" w:rsidRDefault="000B5D3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BA8892A" w14:textId="77777777" w:rsidR="00CF59EF" w:rsidRDefault="000B5D3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BA2C3F6" w14:textId="77777777" w:rsidR="00CF59EF" w:rsidRDefault="000B5D3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E447495" w14:textId="77777777" w:rsidR="00CF59EF" w:rsidRDefault="000B5D3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3394528" w14:textId="77777777" w:rsidR="00CF59EF" w:rsidRDefault="000B5D37">
            <w:pPr>
              <w:spacing w:line="260" w:lineRule="atLeast"/>
              <w:rPr>
                <w:rFonts w:eastAsia="Calibri"/>
                <w:b/>
                <w:lang w:eastAsia="en-US"/>
              </w:rPr>
            </w:pPr>
            <w:r>
              <w:rPr>
                <w:rFonts w:eastAsia="Calibri"/>
                <w:b/>
                <w:lang w:eastAsia="en-US"/>
              </w:rPr>
              <w:t>Estimated total uptake</w:t>
            </w:r>
          </w:p>
        </w:tc>
      </w:tr>
      <w:tr w:rsidR="00CF59EF" w14:paraId="1E76ECE7" w14:textId="7777777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659454A" w14:textId="77777777" w:rsidR="00CF59EF" w:rsidRDefault="000B5D37">
            <w:pPr>
              <w:spacing w:line="260" w:lineRule="atLeast"/>
              <w:rPr>
                <w:rFonts w:eastAsia="Calibri"/>
                <w:lang w:eastAsia="en-US"/>
              </w:rPr>
            </w:pPr>
            <w:r>
              <w:rPr>
                <w:rFonts w:eastAsia="Calibri"/>
                <w:lang w:eastAsia="en-US"/>
              </w:rPr>
              <w:t>Scenarios 3, 4 and 5</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9C402C5" w14:textId="77777777" w:rsidR="00CF59EF" w:rsidRDefault="000B5D3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r>
              <w:rPr>
                <w:rFonts w:eastAsia="Calibri"/>
                <w:lang w:eastAsia="en-US"/>
              </w:rPr>
              <w:t>/day</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FAB2612" w14:textId="77777777" w:rsidR="00CF59EF" w:rsidRDefault="000B5D37">
            <w:pPr>
              <w:spacing w:line="260" w:lineRule="atLeast"/>
              <w:rPr>
                <w:rFonts w:eastAsia="Calibri"/>
                <w:lang w:eastAsia="en-US"/>
              </w:rPr>
            </w:pPr>
            <w:r>
              <w:rPr>
                <w:rFonts w:eastAsia="Calibri"/>
                <w:lang w:eastAsia="en-US"/>
              </w:rPr>
              <w:t xml:space="preserve">3.208 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3E0469A" w14:textId="77777777" w:rsidR="00CF59EF" w:rsidRDefault="000B5D37">
            <w:pPr>
              <w:spacing w:line="260" w:lineRule="atLeast"/>
              <w:rPr>
                <w:rFonts w:eastAsia="Calibri"/>
                <w:lang w:eastAsia="en-US"/>
              </w:rPr>
            </w:pPr>
            <w:r>
              <w:rPr>
                <w:rFonts w:eastAsia="Calibri"/>
                <w:lang w:eastAsia="en-US"/>
              </w:rPr>
              <w:t>Negligible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E012F0D" w14:textId="77777777" w:rsidR="00CF59EF" w:rsidRDefault="000B5D37">
            <w:pPr>
              <w:spacing w:line="260" w:lineRule="atLeast"/>
              <w:rPr>
                <w:rFonts w:eastAsia="Calibri"/>
                <w:lang w:eastAsia="en-US"/>
              </w:rPr>
            </w:pPr>
            <w:r>
              <w:rPr>
                <w:rFonts w:eastAsia="Calibri"/>
                <w:lang w:eastAsia="en-US"/>
              </w:rPr>
              <w:t>3.2</w:t>
            </w:r>
            <w:r w:rsidR="003E4E55">
              <w:rPr>
                <w:rFonts w:eastAsia="Calibri"/>
                <w:lang w:eastAsia="en-US"/>
              </w:rPr>
              <w:t>1</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r>
    </w:tbl>
    <w:p w14:paraId="536B11F7" w14:textId="77777777" w:rsidR="00CF59EF" w:rsidRDefault="00CF59EF">
      <w:pPr>
        <w:rPr>
          <w:rFonts w:eastAsia="Calibri"/>
          <w:b/>
          <w:i/>
          <w:sz w:val="22"/>
          <w:szCs w:val="22"/>
          <w:lang w:val="it-IT" w:eastAsia="en-US"/>
        </w:rPr>
      </w:pPr>
    </w:p>
    <w:p w14:paraId="4D9D0579" w14:textId="77777777" w:rsidR="00064888" w:rsidRDefault="00064888">
      <w:pPr>
        <w:rPr>
          <w:rFonts w:eastAsia="Calibri"/>
          <w:b/>
          <w:i/>
          <w:sz w:val="22"/>
          <w:szCs w:val="22"/>
          <w:lang w:val="it-IT" w:eastAsia="en-US"/>
        </w:rPr>
      </w:pPr>
      <w:bookmarkStart w:id="1496" w:name="_Toc403472768"/>
      <w:bookmarkStart w:id="1497" w:name="_Toc389729070"/>
      <w:bookmarkEnd w:id="1496"/>
      <w:bookmarkEnd w:id="1497"/>
    </w:p>
    <w:p w14:paraId="1BE7DD82" w14:textId="77777777" w:rsidR="00064888" w:rsidRDefault="00064888">
      <w:pPr>
        <w:rPr>
          <w:rFonts w:eastAsia="Calibri"/>
          <w:b/>
          <w:i/>
          <w:sz w:val="22"/>
          <w:szCs w:val="22"/>
          <w:lang w:val="it-IT" w:eastAsia="en-US"/>
        </w:rPr>
      </w:pPr>
    </w:p>
    <w:p w14:paraId="292982F1" w14:textId="77777777" w:rsidR="00CF59EF" w:rsidRDefault="000B5D37">
      <w:pPr>
        <w:rPr>
          <w:rFonts w:eastAsia="Calibri"/>
          <w:b/>
          <w:i/>
          <w:sz w:val="22"/>
          <w:szCs w:val="22"/>
          <w:lang w:val="it-IT" w:eastAsia="en-US"/>
        </w:rPr>
      </w:pPr>
      <w:r>
        <w:rPr>
          <w:rFonts w:eastAsia="Calibri"/>
          <w:b/>
          <w:i/>
          <w:sz w:val="22"/>
          <w:szCs w:val="22"/>
          <w:lang w:val="it-IT" w:eastAsia="en-US"/>
        </w:rPr>
        <w:t>Non-professional exposure</w:t>
      </w:r>
    </w:p>
    <w:p w14:paraId="389132AA" w14:textId="77777777" w:rsidR="00CF59EF" w:rsidRDefault="000B5D37">
      <w:pPr>
        <w:spacing w:line="260" w:lineRule="atLeast"/>
        <w:rPr>
          <w:rFonts w:eastAsia="Calibri"/>
          <w:lang w:val="it-IT" w:eastAsia="en-US"/>
        </w:rPr>
      </w:pPr>
      <w:r>
        <w:rPr>
          <w:rFonts w:eastAsia="Calibri"/>
          <w:lang w:val="it-IT" w:eastAsia="en-US"/>
        </w:rPr>
        <w:t xml:space="preserve">No non-professional exposure is envisaged. The use of treated articles preserved with the biocidal product is assessed as a secondary exposure of general public. </w:t>
      </w:r>
    </w:p>
    <w:p w14:paraId="355178CD" w14:textId="77777777" w:rsidR="00CF59EF" w:rsidRDefault="00CF59EF">
      <w:pPr>
        <w:spacing w:line="260" w:lineRule="atLeast"/>
        <w:rPr>
          <w:rFonts w:eastAsia="Calibri"/>
          <w:highlight w:val="cyan"/>
          <w:lang w:eastAsia="en-US"/>
        </w:rPr>
      </w:pPr>
    </w:p>
    <w:p w14:paraId="11943089" w14:textId="77777777" w:rsidR="00CF59EF" w:rsidRDefault="000B5D37">
      <w:pPr>
        <w:rPr>
          <w:rFonts w:eastAsia="Calibri"/>
          <w:b/>
          <w:i/>
          <w:sz w:val="22"/>
          <w:szCs w:val="22"/>
          <w:lang w:eastAsia="en-US"/>
        </w:rPr>
      </w:pPr>
      <w:bookmarkStart w:id="1498" w:name="_Toc403472769"/>
      <w:bookmarkStart w:id="1499" w:name="_Toc389729073"/>
      <w:r>
        <w:rPr>
          <w:rFonts w:eastAsia="Calibri"/>
          <w:b/>
          <w:i/>
          <w:sz w:val="22"/>
          <w:szCs w:val="22"/>
          <w:lang w:eastAsia="en-US"/>
        </w:rPr>
        <w:t xml:space="preserve">Exposure of the </w:t>
      </w:r>
      <w:bookmarkEnd w:id="1498"/>
      <w:bookmarkEnd w:id="1499"/>
      <w:r>
        <w:rPr>
          <w:rFonts w:eastAsia="Calibri"/>
          <w:b/>
          <w:i/>
          <w:sz w:val="22"/>
          <w:szCs w:val="22"/>
          <w:lang w:eastAsia="en-US"/>
        </w:rPr>
        <w:t>non-pro</w:t>
      </w:r>
      <w:r w:rsidR="003E4E55">
        <w:rPr>
          <w:rFonts w:eastAsia="Calibri"/>
          <w:b/>
          <w:i/>
          <w:sz w:val="22"/>
          <w:szCs w:val="22"/>
          <w:lang w:eastAsia="en-US"/>
        </w:rPr>
        <w:t>f</w:t>
      </w:r>
      <w:r>
        <w:rPr>
          <w:rFonts w:eastAsia="Calibri"/>
          <w:b/>
          <w:i/>
          <w:sz w:val="22"/>
          <w:szCs w:val="22"/>
          <w:lang w:eastAsia="en-US"/>
        </w:rPr>
        <w:t>essional users</w:t>
      </w:r>
    </w:p>
    <w:p w14:paraId="7D16A5FF" w14:textId="77777777" w:rsidR="00CF59EF" w:rsidRDefault="00CF59EF">
      <w:pPr>
        <w:spacing w:line="260" w:lineRule="atLeast"/>
        <w:rPr>
          <w:rFonts w:eastAsia="Calibri"/>
          <w:highlight w:val="cyan"/>
          <w:lang w:eastAsia="en-US"/>
        </w:rPr>
      </w:pPr>
    </w:p>
    <w:p w14:paraId="68EB2A9C" w14:textId="77777777" w:rsidR="00CF59EF" w:rsidRDefault="000B5D37">
      <w:pPr>
        <w:rPr>
          <w:rFonts w:eastAsia="Calibri"/>
          <w:i/>
          <w:sz w:val="22"/>
          <w:szCs w:val="22"/>
          <w:u w:val="single"/>
          <w:lang w:eastAsia="en-US"/>
        </w:rPr>
      </w:pPr>
      <w:bookmarkStart w:id="1500" w:name="_Toc389729074"/>
      <w:r>
        <w:rPr>
          <w:rFonts w:eastAsia="Calibri"/>
          <w:i/>
          <w:sz w:val="22"/>
          <w:szCs w:val="22"/>
          <w:u w:val="single"/>
          <w:lang w:eastAsia="en-US"/>
        </w:rPr>
        <w:t xml:space="preserve">Scenario </w:t>
      </w:r>
      <w:bookmarkEnd w:id="1500"/>
      <w:r>
        <w:rPr>
          <w:rFonts w:eastAsia="Calibri"/>
          <w:i/>
          <w:sz w:val="22"/>
          <w:szCs w:val="22"/>
          <w:u w:val="single"/>
          <w:lang w:eastAsia="en-US"/>
        </w:rPr>
        <w:t>7: Use of dishwashing liquids preserved with the product by non-professional users (consumers) for hand dishwashing</w:t>
      </w:r>
    </w:p>
    <w:p w14:paraId="20CE8FFF" w14:textId="77777777" w:rsidR="00CF59EF" w:rsidRDefault="00CF59EF">
      <w:pPr>
        <w:spacing w:line="260" w:lineRule="atLeast"/>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60"/>
        <w:gridCol w:w="4289"/>
        <w:gridCol w:w="3062"/>
      </w:tblGrid>
      <w:tr w:rsidR="00CF59EF" w14:paraId="7E21924C" w14:textId="77777777">
        <w:trPr>
          <w:tblHeader/>
        </w:trPr>
        <w:tc>
          <w:tcPr>
            <w:tcW w:w="9120"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2F76DDA3" w14:textId="77777777" w:rsidR="00CF59EF" w:rsidRDefault="000B5D37">
            <w:pPr>
              <w:spacing w:line="260" w:lineRule="atLeast"/>
              <w:rPr>
                <w:rFonts w:eastAsia="Calibri"/>
                <w:b/>
                <w:lang w:eastAsia="en-US"/>
              </w:rPr>
            </w:pPr>
            <w:r>
              <w:rPr>
                <w:rFonts w:eastAsia="Calibri"/>
                <w:b/>
                <w:lang w:eastAsia="en-US"/>
              </w:rPr>
              <w:lastRenderedPageBreak/>
              <w:t>Description of Scenario 7</w:t>
            </w:r>
          </w:p>
        </w:tc>
      </w:tr>
      <w:tr w:rsidR="00CF59EF" w14:paraId="523B6696" w14:textId="77777777">
        <w:trPr>
          <w:tblHeader/>
        </w:trPr>
        <w:tc>
          <w:tcPr>
            <w:tcW w:w="912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F676E0" w14:textId="77777777" w:rsidR="00CF59EF" w:rsidRDefault="000B5D37">
            <w:pPr>
              <w:spacing w:line="260" w:lineRule="atLeast"/>
              <w:jc w:val="both"/>
              <w:rPr>
                <w:rFonts w:eastAsia="Calibri"/>
                <w:lang w:eastAsia="en-US"/>
              </w:rPr>
            </w:pPr>
            <w:r>
              <w:rPr>
                <w:rFonts w:eastAsia="Calibri"/>
                <w:lang w:eastAsia="en-US"/>
              </w:rPr>
              <w:t>A consumer uses a hand dishwashing liquid preserved with the product at a maximal concentration of 2.5% (w/w, expressed as benzoic acid) to do the dishes daily 3 times a day for 16 minutes.</w:t>
            </w:r>
          </w:p>
        </w:tc>
      </w:tr>
      <w:tr w:rsidR="00CF59EF" w14:paraId="2DD9FE3F" w14:textId="77777777">
        <w:trPr>
          <w:tblHeader/>
        </w:trPr>
        <w:tc>
          <w:tcPr>
            <w:tcW w:w="17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DB61F5" w14:textId="77777777"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49C933"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B87129" w14:textId="77777777" w:rsidR="00CF59EF" w:rsidRDefault="000B5D37">
            <w:pPr>
              <w:spacing w:line="260" w:lineRule="atLeast"/>
              <w:rPr>
                <w:rFonts w:eastAsia="Calibri"/>
                <w:lang w:eastAsia="en-US"/>
              </w:rPr>
            </w:pPr>
            <w:r>
              <w:rPr>
                <w:rFonts w:eastAsia="Calibri"/>
                <w:lang w:eastAsia="en-US"/>
              </w:rPr>
              <w:t>Value</w:t>
            </w:r>
          </w:p>
        </w:tc>
      </w:tr>
      <w:tr w:rsidR="00CF59EF" w14:paraId="167918C4" w14:textId="77777777">
        <w:trPr>
          <w:tblHeader/>
        </w:trPr>
        <w:tc>
          <w:tcPr>
            <w:tcW w:w="176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FB9440" w14:textId="77777777" w:rsidR="00CF59EF" w:rsidRDefault="000B5D37">
            <w:pPr>
              <w:spacing w:line="260" w:lineRule="atLeast"/>
              <w:rPr>
                <w:rFonts w:eastAsia="Calibri"/>
                <w:lang w:eastAsia="en-US"/>
              </w:rPr>
            </w:pPr>
            <w:r>
              <w:rPr>
                <w:rFonts w:eastAsia="Calibri"/>
                <w:lang w:eastAsia="en-US"/>
              </w:rPr>
              <w:t>Tier 1</w:t>
            </w: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731B2A" w14:textId="77777777" w:rsidR="00CF59EF" w:rsidRDefault="000B5D37">
            <w:pPr>
              <w:spacing w:line="260" w:lineRule="atLeast"/>
              <w:rPr>
                <w:rFonts w:eastAsia="Calibri"/>
                <w:lang w:eastAsia="en-US"/>
              </w:rPr>
            </w:pPr>
            <w:r>
              <w:rPr>
                <w:rFonts w:eastAsia="Calibri"/>
                <w:lang w:eastAsia="en-US"/>
              </w:rPr>
              <w:t xml:space="preserve">exposed area,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E5F1C6" w14:textId="77777777" w:rsidR="00CF59EF" w:rsidRDefault="00F35261" w:rsidP="00107787">
            <w:pPr>
              <w:spacing w:line="260" w:lineRule="atLeast"/>
              <w:rPr>
                <w:rFonts w:eastAsia="Calibri"/>
                <w:lang w:eastAsia="en-US"/>
              </w:rPr>
            </w:pPr>
            <w:r>
              <w:rPr>
                <w:rFonts w:eastAsia="Calibri"/>
                <w:iCs/>
                <w:lang w:eastAsia="en-US"/>
              </w:rPr>
              <w:t>1961.2</w:t>
            </w:r>
            <w:r w:rsidR="000B5D37">
              <w:rPr>
                <w:rFonts w:eastAsia="Calibri"/>
                <w:lang w:eastAsia="en-US"/>
              </w:rPr>
              <w:t xml:space="preserve"> cm</w:t>
            </w:r>
            <w:r w:rsidR="000B5D37">
              <w:rPr>
                <w:rFonts w:eastAsia="Calibri"/>
                <w:vertAlign w:val="superscript"/>
                <w:lang w:eastAsia="en-US"/>
              </w:rPr>
              <w:t>2</w:t>
            </w:r>
          </w:p>
        </w:tc>
      </w:tr>
      <w:tr w:rsidR="00CF59EF" w14:paraId="751D320C" w14:textId="77777777">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B7D6E5" w14:textId="77777777"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BBD1CE" w14:textId="77777777" w:rsidR="00CF59EF" w:rsidRDefault="000B5D37">
            <w:pPr>
              <w:spacing w:line="260" w:lineRule="atLeast"/>
              <w:rPr>
                <w:rFonts w:eastAsia="Calibri"/>
                <w:lang w:eastAsia="en-US"/>
              </w:rPr>
            </w:pPr>
            <w:r>
              <w:rPr>
                <w:rFonts w:eastAsia="Calibri"/>
                <w:lang w:eastAsia="en-US"/>
              </w:rPr>
              <w:t>weight fraction sodium benzoate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6C91AC" w14:textId="77777777" w:rsidR="00CF59EF" w:rsidRDefault="000B5D37">
            <w:pPr>
              <w:spacing w:line="260" w:lineRule="atLeast"/>
              <w:rPr>
                <w:rFonts w:eastAsia="Calibri"/>
                <w:lang w:eastAsia="en-US"/>
              </w:rPr>
            </w:pPr>
            <w:r>
              <w:rPr>
                <w:rFonts w:eastAsia="Calibri"/>
                <w:lang w:eastAsia="en-US"/>
              </w:rPr>
              <w:t>0.0035%</w:t>
            </w:r>
          </w:p>
        </w:tc>
      </w:tr>
      <w:tr w:rsidR="00CF59EF" w14:paraId="131A4DE0" w14:textId="77777777">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15E9E5" w14:textId="77777777"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BAF9FD" w14:textId="77777777" w:rsidR="00CF59EF" w:rsidRDefault="000B5D37">
            <w:pPr>
              <w:spacing w:line="260" w:lineRule="atLeast"/>
              <w:rPr>
                <w:rFonts w:eastAsia="Calibri"/>
                <w:lang w:eastAsia="en-US"/>
              </w:rPr>
            </w:pPr>
            <w:r>
              <w:rPr>
                <w:rFonts w:eastAsia="Calibri"/>
                <w:lang w:eastAsia="en-US"/>
              </w:rPr>
              <w:t>Events/day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154C3A" w14:textId="77777777" w:rsidR="00CF59EF" w:rsidRDefault="000B5D37">
            <w:pPr>
              <w:spacing w:line="260" w:lineRule="atLeast"/>
              <w:rPr>
                <w:rFonts w:eastAsia="Calibri"/>
                <w:lang w:eastAsia="en-US"/>
              </w:rPr>
            </w:pPr>
            <w:r>
              <w:rPr>
                <w:rFonts w:eastAsia="Calibri"/>
                <w:lang w:eastAsia="en-US"/>
              </w:rPr>
              <w:t>3</w:t>
            </w:r>
          </w:p>
        </w:tc>
      </w:tr>
      <w:tr w:rsidR="00CF59EF" w14:paraId="61FD59BE" w14:textId="77777777">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2A4724" w14:textId="77777777"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F815D5" w14:textId="77777777" w:rsidR="00CF59EF" w:rsidRDefault="000B5D37">
            <w:pPr>
              <w:spacing w:line="260" w:lineRule="atLeast"/>
              <w:rPr>
                <w:rFonts w:eastAsia="Calibri"/>
                <w:lang w:eastAsia="en-US"/>
              </w:rPr>
            </w:pPr>
            <w:r>
              <w:rPr>
                <w:rFonts w:eastAsia="Calibri"/>
                <w:lang w:eastAsia="en-US"/>
              </w:rPr>
              <w:t>Dermal absorption</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6A59A1" w14:textId="77777777" w:rsidR="00CF59EF" w:rsidRDefault="000B5D37">
            <w:pPr>
              <w:spacing w:line="260" w:lineRule="atLeast"/>
              <w:rPr>
                <w:rFonts w:eastAsia="Calibri"/>
                <w:lang w:eastAsia="en-US"/>
              </w:rPr>
            </w:pPr>
            <w:r>
              <w:rPr>
                <w:rFonts w:eastAsia="Calibri"/>
                <w:lang w:eastAsia="en-US"/>
              </w:rPr>
              <w:t>75%</w:t>
            </w:r>
          </w:p>
        </w:tc>
      </w:tr>
      <w:tr w:rsidR="00EA13B1" w14:paraId="18E1CEA5" w14:textId="77777777">
        <w:trPr>
          <w:tblHeader/>
        </w:trPr>
        <w:tc>
          <w:tcPr>
            <w:tcW w:w="17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68A936" w14:textId="77777777" w:rsidR="00EA13B1" w:rsidRDefault="00EA13B1">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3058A0" w14:textId="77777777" w:rsidR="00EA13B1" w:rsidRDefault="00EA13B1">
            <w:pPr>
              <w:spacing w:line="260" w:lineRule="atLeast"/>
              <w:rPr>
                <w:rFonts w:eastAsia="Calibri"/>
                <w:lang w:eastAsia="en-US"/>
              </w:rPr>
            </w:pPr>
            <w:r>
              <w:rPr>
                <w:rFonts w:eastAsia="Calibri"/>
                <w:lang w:eastAsia="en-US"/>
              </w:rPr>
              <w:t>Body weight</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C4F46D" w14:textId="77777777" w:rsidR="00EA13B1" w:rsidRDefault="00EA13B1">
            <w:pPr>
              <w:spacing w:line="260" w:lineRule="atLeast"/>
              <w:rPr>
                <w:rFonts w:eastAsia="Calibri"/>
                <w:lang w:eastAsia="en-US"/>
              </w:rPr>
            </w:pPr>
            <w:r>
              <w:rPr>
                <w:rFonts w:eastAsia="Calibri"/>
                <w:lang w:eastAsia="en-US"/>
              </w:rPr>
              <w:t>60 kg</w:t>
            </w:r>
          </w:p>
        </w:tc>
      </w:tr>
    </w:tbl>
    <w:p w14:paraId="29C149A3" w14:textId="77777777" w:rsidR="00CF59EF" w:rsidRDefault="000B5D37">
      <w:pPr>
        <w:jc w:val="both"/>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Include e.g. generic parameters and protection/penetration rates for PPE if relevant. Use footnotes for references and justifications.</w:t>
      </w:r>
    </w:p>
    <w:p w14:paraId="7732C6CE" w14:textId="77777777" w:rsidR="00CF59EF" w:rsidRDefault="000B5D37">
      <w:pPr>
        <w:jc w:val="both"/>
        <w:rPr>
          <w:rFonts w:eastAsia="Calibri"/>
          <w:iCs/>
          <w:sz w:val="16"/>
          <w:lang w:eastAsia="en-US"/>
        </w:rPr>
      </w:pPr>
      <w:r>
        <w:rPr>
          <w:rFonts w:eastAsia="Calibri"/>
          <w:iCs/>
          <w:sz w:val="16"/>
          <w:vertAlign w:val="superscript"/>
          <w:lang w:eastAsia="en-US"/>
        </w:rPr>
        <w:t>2</w:t>
      </w:r>
      <w:r>
        <w:rPr>
          <w:rFonts w:eastAsia="Calibri"/>
          <w:iCs/>
          <w:sz w:val="16"/>
          <w:lang w:eastAsia="en-US"/>
        </w:rPr>
        <w:t xml:space="preserve"> Only include the parameters changed with respect to the previous Tier.</w:t>
      </w:r>
    </w:p>
    <w:p w14:paraId="7201CFCF" w14:textId="77777777" w:rsidR="00CF59EF" w:rsidRDefault="00CF59EF">
      <w:pPr>
        <w:spacing w:line="260" w:lineRule="atLeast"/>
        <w:rPr>
          <w:rFonts w:eastAsia="Calibri"/>
          <w:highlight w:val="cyan"/>
          <w:lang w:eastAsia="en-US"/>
        </w:rPr>
      </w:pPr>
    </w:p>
    <w:p w14:paraId="4A8E2585" w14:textId="77777777" w:rsidR="00CF59EF" w:rsidRDefault="000B5D37">
      <w:pPr>
        <w:spacing w:line="260" w:lineRule="atLeast"/>
        <w:rPr>
          <w:rFonts w:eastAsia="Calibri"/>
          <w:b/>
          <w:bCs/>
          <w:lang w:eastAsia="en-US"/>
        </w:rPr>
      </w:pPr>
      <w:r>
        <w:rPr>
          <w:rFonts w:eastAsia="Calibri"/>
          <w:b/>
          <w:bCs/>
          <w:lang w:eastAsia="en-US"/>
        </w:rPr>
        <w:t>Calculations for Scenario 7</w:t>
      </w:r>
    </w:p>
    <w:p w14:paraId="4A4239C1" w14:textId="77777777" w:rsidR="00CF59EF" w:rsidRDefault="00CF59EF">
      <w:pPr>
        <w:spacing w:line="260" w:lineRule="atLeast"/>
        <w:rPr>
          <w:rFonts w:ascii="Times New Roman" w:eastAsia="Calibri" w:hAnsi="Times New Roman"/>
          <w:i/>
          <w:iCs/>
          <w:lang w:eastAsia="en-US"/>
        </w:rPr>
      </w:pPr>
    </w:p>
    <w:p w14:paraId="69AE842B" w14:textId="77777777" w:rsidR="00CF59EF" w:rsidRDefault="000B5D37">
      <w:pPr>
        <w:spacing w:line="260" w:lineRule="atLeast"/>
        <w:rPr>
          <w:rFonts w:eastAsia="Calibri"/>
          <w:iCs/>
          <w:lang w:eastAsia="en-US"/>
        </w:rPr>
      </w:pPr>
      <w:r>
        <w:rPr>
          <w:rFonts w:eastAsia="Calibri"/>
          <w:iCs/>
          <w:lang w:eastAsia="en-US"/>
        </w:rPr>
        <w:t xml:space="preserve">A consumer uses a dishwashing liquid preserved with sodium benzoate at a maximal concentration of 2.5% (expressed as benzoic acid) to do the dishes manually three times a day. 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Application duration was considered to be 16 minutes (default </w:t>
      </w:r>
      <w:proofErr w:type="spellStart"/>
      <w:r>
        <w:rPr>
          <w:rFonts w:eastAsia="Calibri"/>
          <w:iCs/>
          <w:lang w:eastAsia="en-US"/>
        </w:rPr>
        <w:t>ConsExpo</w:t>
      </w:r>
      <w:proofErr w:type="spellEnd"/>
      <w:r>
        <w:rPr>
          <w:rFonts w:eastAsia="Calibri"/>
          <w:iCs/>
          <w:lang w:eastAsia="en-US"/>
        </w:rPr>
        <w:t xml:space="preserve"> 4.1). The default scenario assumes that the consumer adds the dishwashing liquid to a sink filled with water with a total volume of 15 L. The amount of the dishwashing liquid added to water is assumed to be 7 g  per 5000 mL water, which is equal to a dilution of ca. 714 times. Therefore the resulting weight fraction of sodium benzoate in the generated solution is calculated as (2.5%/714 =) 0.0035%. As the vapour pressure of sodium benzoate is extremely low, its evaporation from aqueous solution is considered to be negligible; thus no respiratory exposure is expected. For dermal exposure, the exposed area was set to </w:t>
      </w:r>
      <w:r w:rsidR="00F35261">
        <w:rPr>
          <w:rFonts w:eastAsia="Calibri"/>
          <w:iCs/>
          <w:lang w:eastAsia="en-US"/>
        </w:rPr>
        <w:t>1961.2</w:t>
      </w:r>
      <w:r>
        <w:rPr>
          <w:rFonts w:eastAsia="Calibri"/>
          <w:iCs/>
          <w:lang w:eastAsia="en-US"/>
        </w:rPr>
        <w:t xml:space="preserve"> cm</w:t>
      </w:r>
      <w:r>
        <w:rPr>
          <w:rFonts w:eastAsia="Calibri"/>
          <w:iCs/>
          <w:vertAlign w:val="superscript"/>
          <w:lang w:eastAsia="en-US"/>
        </w:rPr>
        <w:t>2</w:t>
      </w:r>
      <w:r>
        <w:rPr>
          <w:rFonts w:eastAsia="Calibri"/>
          <w:iCs/>
          <w:lang w:eastAsia="en-US"/>
        </w:rPr>
        <w:t xml:space="preserve"> (the area of palms and backs of both hands</w:t>
      </w:r>
      <w:r w:rsidR="00F35261">
        <w:rPr>
          <w:rFonts w:eastAsia="Calibri"/>
          <w:iCs/>
          <w:lang w:eastAsia="en-US"/>
        </w:rPr>
        <w:t>, and forearms</w:t>
      </w:r>
      <w:r>
        <w:rPr>
          <w:rFonts w:eastAsia="Calibri"/>
          <w:iCs/>
          <w:lang w:eastAsia="en-US"/>
        </w:rPr>
        <w:t xml:space="preserve"> for an adult), while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(2012). It is considered that the water layer of 0.01 cm (default) comes into contact with the consumer skin; respectively, the amount of water containing product which can get absorbed through the skin, is calculated as (</w:t>
      </w:r>
      <w:r w:rsidR="00F35261">
        <w:rPr>
          <w:rFonts w:eastAsia="Calibri"/>
          <w:iCs/>
          <w:lang w:eastAsia="en-US"/>
        </w:rPr>
        <w:t>1961.2</w:t>
      </w:r>
      <w:r>
        <w:rPr>
          <w:rFonts w:eastAsia="Calibri"/>
          <w:iCs/>
          <w:lang w:eastAsia="en-US"/>
        </w:rPr>
        <w:t xml:space="preserve"> 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F35261">
        <w:rPr>
          <w:rFonts w:eastAsia="Calibri"/>
          <w:iCs/>
          <w:lang w:eastAsia="en-US"/>
        </w:rPr>
        <w:t>19.6</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The resulting exposure estimates are presented in Annex 3.2. The internal systemic exposure to sodium benzoate is equal to 0.</w:t>
      </w:r>
      <w:r w:rsidR="00132530">
        <w:rPr>
          <w:rFonts w:eastAsia="Calibri"/>
          <w:iCs/>
          <w:lang w:eastAsia="en-US"/>
        </w:rPr>
        <w:t xml:space="preserve">0086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 xml:space="preserve"> per event, or, considering three applications per day, 0.</w:t>
      </w:r>
      <w:r w:rsidR="00132530">
        <w:rPr>
          <w:rFonts w:eastAsia="Calibri"/>
          <w:iCs/>
          <w:lang w:eastAsia="en-US"/>
        </w:rPr>
        <w:t xml:space="preserve">026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 xml:space="preserve">/day. </w:t>
      </w:r>
    </w:p>
    <w:p w14:paraId="67114467" w14:textId="77777777" w:rsidR="00CF59EF" w:rsidRDefault="00CF59EF">
      <w:pPr>
        <w:spacing w:line="260" w:lineRule="atLeast"/>
        <w:rPr>
          <w:rFonts w:eastAsia="Calibri"/>
          <w:iCs/>
          <w:lang w:eastAsia="en-US"/>
        </w:rPr>
      </w:pPr>
    </w:p>
    <w:p w14:paraId="1C7A1B02" w14:textId="77777777" w:rsidR="00CF59EF" w:rsidRDefault="00CF59EF">
      <w:pPr>
        <w:spacing w:line="260" w:lineRule="atLeast"/>
        <w:rPr>
          <w:rFonts w:eastAsia="Calibri"/>
          <w:iCs/>
          <w:lang w:eastAsia="en-US"/>
        </w:rPr>
      </w:pPr>
    </w:p>
    <w:p w14:paraId="136ACB4F" w14:textId="77777777" w:rsidR="00CF59EF" w:rsidRDefault="000B5D37">
      <w:pPr>
        <w:rPr>
          <w:rFonts w:eastAsia="Calibri"/>
          <w:i/>
          <w:sz w:val="22"/>
          <w:szCs w:val="22"/>
          <w:u w:val="single"/>
          <w:lang w:eastAsia="en-US"/>
        </w:rPr>
      </w:pPr>
      <w:r>
        <w:rPr>
          <w:rFonts w:eastAsia="Calibri"/>
          <w:i/>
          <w:sz w:val="22"/>
          <w:szCs w:val="22"/>
          <w:u w:val="single"/>
          <w:lang w:eastAsia="en-US"/>
        </w:rPr>
        <w:t>Scenario 8: Use of laundry detergent liquids preserved with the product by non-pro</w:t>
      </w:r>
      <w:r w:rsidR="00E37E68">
        <w:rPr>
          <w:rFonts w:eastAsia="Calibri"/>
          <w:i/>
          <w:sz w:val="22"/>
          <w:szCs w:val="22"/>
          <w:u w:val="single"/>
          <w:lang w:eastAsia="en-US"/>
        </w:rPr>
        <w:t>f</w:t>
      </w:r>
      <w:r>
        <w:rPr>
          <w:rFonts w:eastAsia="Calibri"/>
          <w:i/>
          <w:sz w:val="22"/>
          <w:szCs w:val="22"/>
          <w:u w:val="single"/>
          <w:lang w:eastAsia="en-US"/>
        </w:rPr>
        <w:t>essional users for handwash laundry</w:t>
      </w:r>
    </w:p>
    <w:p w14:paraId="0306564B" w14:textId="77777777" w:rsidR="00CF59EF" w:rsidRDefault="00CF59EF">
      <w:pPr>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9"/>
        <w:gridCol w:w="4286"/>
        <w:gridCol w:w="3066"/>
      </w:tblGrid>
      <w:tr w:rsidR="00CF59EF" w14:paraId="357F9D13"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25291E64" w14:textId="77777777" w:rsidR="00CF59EF" w:rsidRDefault="000B5D37">
            <w:pPr>
              <w:spacing w:line="260" w:lineRule="atLeast"/>
              <w:rPr>
                <w:rFonts w:eastAsia="Calibri"/>
                <w:b/>
                <w:lang w:eastAsia="en-US"/>
              </w:rPr>
            </w:pPr>
            <w:r>
              <w:rPr>
                <w:rFonts w:eastAsia="Calibri"/>
                <w:b/>
                <w:lang w:eastAsia="en-US"/>
              </w:rPr>
              <w:lastRenderedPageBreak/>
              <w:t>Description of Scenario 8</w:t>
            </w:r>
          </w:p>
        </w:tc>
      </w:tr>
      <w:tr w:rsidR="00CF59EF" w14:paraId="1F6CD94F"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B9BBF6" w14:textId="77777777" w:rsidR="00CF59EF" w:rsidRDefault="000B5D37">
            <w:pPr>
              <w:spacing w:line="260" w:lineRule="atLeast"/>
              <w:jc w:val="both"/>
              <w:rPr>
                <w:rFonts w:eastAsia="Calibri"/>
                <w:lang w:eastAsia="en-US"/>
              </w:rPr>
            </w:pPr>
            <w:r>
              <w:rPr>
                <w:rFonts w:eastAsia="Calibri"/>
                <w:lang w:eastAsia="en-US"/>
              </w:rPr>
              <w:t xml:space="preserve">A consumer uses a liquid laundry detergent preserved with the product at a maximal concentration of 2.5% (w/w, expressed as benzoic acid) to do the hand-wash laundry </w:t>
            </w: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r w:rsidR="007F25FD">
              <w:rPr>
                <w:rFonts w:eastAsia="Calibri"/>
                <w:iCs/>
                <w:lang w:eastAsia="en-US"/>
              </w:rPr>
              <w:t xml:space="preserve"> </w:t>
            </w:r>
            <w:r>
              <w:rPr>
                <w:rFonts w:eastAsia="Calibri"/>
                <w:lang w:eastAsia="en-US"/>
              </w:rPr>
              <w:t xml:space="preserve">once daily. </w:t>
            </w:r>
          </w:p>
        </w:tc>
      </w:tr>
      <w:tr w:rsidR="00CF59EF" w14:paraId="03D164D4" w14:textId="77777777"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D978CD"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FC26CB" w14:textId="77777777"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68F6D1" w14:textId="77777777" w:rsidR="00CF59EF" w:rsidRDefault="000B5D37">
            <w:pPr>
              <w:spacing w:line="260" w:lineRule="atLeast"/>
              <w:rPr>
                <w:rFonts w:eastAsia="Calibri"/>
                <w:lang w:eastAsia="en-US"/>
              </w:rPr>
            </w:pPr>
            <w:r>
              <w:rPr>
                <w:rFonts w:eastAsia="Calibri"/>
                <w:lang w:eastAsia="en-US"/>
              </w:rPr>
              <w:t>Value</w:t>
            </w:r>
          </w:p>
        </w:tc>
      </w:tr>
      <w:tr w:rsidR="00EA13B1" w14:paraId="4394E2CC" w14:textId="77777777" w:rsidTr="00EA13B1">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14:paraId="1315D5A3"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B17FAB" w14:textId="77777777" w:rsidR="00EA13B1" w:rsidRDefault="00EA13B1" w:rsidP="00EA13B1">
            <w:pPr>
              <w:spacing w:line="260" w:lineRule="atLeast"/>
              <w:rPr>
                <w:rFonts w:eastAsia="Calibri"/>
                <w:sz w:val="18"/>
                <w:lang w:eastAsia="en-US"/>
              </w:rPr>
            </w:pPr>
            <w:r>
              <w:rPr>
                <w:rFonts w:eastAsia="Calibri"/>
                <w:lang w:eastAsia="en-US"/>
              </w:rPr>
              <w:t>exposure area</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7B9876" w14:textId="77777777" w:rsidR="00EA13B1" w:rsidRDefault="00EA13B1">
            <w:pPr>
              <w:spacing w:line="260" w:lineRule="atLeast"/>
              <w:rPr>
                <w:rFonts w:eastAsia="Calibri"/>
                <w:lang w:eastAsia="en-US"/>
              </w:rPr>
            </w:pP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p>
        </w:tc>
      </w:tr>
      <w:tr w:rsidR="00EA13B1" w14:paraId="5DE5DEC4" w14:textId="77777777" w:rsidTr="00EA13B1">
        <w:trPr>
          <w:tblHeader/>
        </w:trPr>
        <w:tc>
          <w:tcPr>
            <w:tcW w:w="1789" w:type="dxa"/>
            <w:vMerge/>
            <w:tcBorders>
              <w:left w:val="single" w:sz="4" w:space="0" w:color="00000A"/>
              <w:right w:val="single" w:sz="4" w:space="0" w:color="00000A"/>
            </w:tcBorders>
            <w:shd w:val="clear" w:color="auto" w:fill="auto"/>
            <w:tcMar>
              <w:left w:w="70" w:type="dxa"/>
            </w:tcMar>
          </w:tcPr>
          <w:p w14:paraId="41CD96BC"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1C6FFC" w14:textId="77777777" w:rsidR="00EA13B1" w:rsidRDefault="00EA13B1">
            <w:pPr>
              <w:spacing w:line="260" w:lineRule="atLeast"/>
              <w:rPr>
                <w:rFonts w:eastAsia="Calibri"/>
                <w:lang w:eastAsia="en-US"/>
              </w:rPr>
            </w:pP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00C72C" w14:textId="77777777" w:rsidR="00EA13B1" w:rsidRDefault="00EA13B1">
            <w:pPr>
              <w:spacing w:line="260" w:lineRule="atLeast"/>
              <w:rPr>
                <w:rFonts w:eastAsia="Calibri"/>
                <w:lang w:eastAsia="en-US"/>
              </w:rPr>
            </w:pPr>
          </w:p>
        </w:tc>
      </w:tr>
      <w:tr w:rsidR="00EA13B1" w14:paraId="3E59761D" w14:textId="77777777" w:rsidTr="00EA13B1">
        <w:trPr>
          <w:tblHeader/>
        </w:trPr>
        <w:tc>
          <w:tcPr>
            <w:tcW w:w="1789" w:type="dxa"/>
            <w:vMerge/>
            <w:tcBorders>
              <w:left w:val="single" w:sz="4" w:space="0" w:color="00000A"/>
              <w:right w:val="single" w:sz="4" w:space="0" w:color="00000A"/>
            </w:tcBorders>
            <w:shd w:val="clear" w:color="auto" w:fill="auto"/>
            <w:tcMar>
              <w:left w:w="70" w:type="dxa"/>
            </w:tcMar>
          </w:tcPr>
          <w:p w14:paraId="569FE1BD"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A3F603" w14:textId="77777777" w:rsidR="00EA13B1" w:rsidRDefault="00EA13B1" w:rsidP="00EA13B1">
            <w:pPr>
              <w:spacing w:line="260" w:lineRule="atLeast"/>
              <w:rPr>
                <w:rFonts w:eastAsia="Calibri"/>
                <w:lang w:eastAsia="en-US"/>
              </w:rPr>
            </w:pPr>
            <w:r>
              <w:rPr>
                <w:rFonts w:eastAsia="Calibri"/>
                <w:lang w:eastAsia="en-US"/>
              </w:rPr>
              <w:t xml:space="preserve">weight fraction sodium benzoate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21AF94" w14:textId="77777777" w:rsidR="00EA13B1" w:rsidRDefault="00EA13B1">
            <w:pPr>
              <w:spacing w:line="260" w:lineRule="atLeast"/>
              <w:rPr>
                <w:rFonts w:eastAsia="Calibri"/>
                <w:lang w:eastAsia="en-US"/>
              </w:rPr>
            </w:pPr>
            <w:r>
              <w:rPr>
                <w:rFonts w:eastAsia="Calibri"/>
                <w:lang w:eastAsia="en-US"/>
              </w:rPr>
              <w:t>0.025% (w/w, expressed as benzoic acid)</w:t>
            </w:r>
          </w:p>
        </w:tc>
      </w:tr>
      <w:tr w:rsidR="00EA13B1" w14:paraId="60072BF9" w14:textId="77777777" w:rsidTr="00EA13B1">
        <w:trPr>
          <w:tblHeader/>
        </w:trPr>
        <w:tc>
          <w:tcPr>
            <w:tcW w:w="1789" w:type="dxa"/>
            <w:vMerge/>
            <w:tcBorders>
              <w:left w:val="single" w:sz="4" w:space="0" w:color="00000A"/>
              <w:right w:val="single" w:sz="4" w:space="0" w:color="00000A"/>
            </w:tcBorders>
            <w:shd w:val="clear" w:color="auto" w:fill="auto"/>
            <w:tcMar>
              <w:left w:w="70" w:type="dxa"/>
            </w:tcMar>
          </w:tcPr>
          <w:p w14:paraId="09151CF8"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0505D4" w14:textId="77777777" w:rsidR="00EA13B1" w:rsidRDefault="00EA13B1" w:rsidP="00EA13B1">
            <w:pPr>
              <w:spacing w:line="260" w:lineRule="atLeast"/>
              <w:rPr>
                <w:rFonts w:eastAsia="Calibri"/>
                <w:lang w:eastAsia="en-US"/>
              </w:rPr>
            </w:pPr>
            <w:r>
              <w:rPr>
                <w:rFonts w:eastAsia="Calibri"/>
                <w:lang w:eastAsia="en-US"/>
              </w:rPr>
              <w:t xml:space="preserve">dermal absorption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BD3E2C" w14:textId="77777777" w:rsidR="00EA13B1" w:rsidRDefault="00EA13B1">
            <w:pPr>
              <w:spacing w:line="260" w:lineRule="atLeast"/>
              <w:rPr>
                <w:rFonts w:eastAsia="Calibri"/>
                <w:lang w:eastAsia="en-US"/>
              </w:rPr>
            </w:pPr>
            <w:r>
              <w:rPr>
                <w:rFonts w:eastAsia="Calibri"/>
                <w:lang w:eastAsia="en-US"/>
              </w:rPr>
              <w:t>75%</w:t>
            </w:r>
          </w:p>
        </w:tc>
      </w:tr>
      <w:tr w:rsidR="00EA13B1" w14:paraId="08305FFD" w14:textId="77777777" w:rsidTr="00EA13B1">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14:paraId="0E2ED164"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23AC51" w14:textId="77777777" w:rsidR="00EA13B1" w:rsidRDefault="00EA13B1" w:rsidP="00DF22FD">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9661BD" w14:textId="77777777" w:rsidR="00EA13B1" w:rsidRDefault="00EA13B1">
            <w:pPr>
              <w:spacing w:line="260" w:lineRule="atLeast"/>
              <w:rPr>
                <w:rFonts w:eastAsia="Calibri"/>
                <w:lang w:eastAsia="en-US"/>
              </w:rPr>
            </w:pPr>
            <w:r>
              <w:rPr>
                <w:rFonts w:eastAsia="Calibri"/>
                <w:lang w:eastAsia="en-US"/>
              </w:rPr>
              <w:t>60 kg</w:t>
            </w:r>
          </w:p>
        </w:tc>
      </w:tr>
    </w:tbl>
    <w:p w14:paraId="42DF1599" w14:textId="77777777" w:rsidR="00CF59EF" w:rsidRDefault="00CF59EF">
      <w:pPr>
        <w:spacing w:line="260" w:lineRule="atLeast"/>
        <w:rPr>
          <w:rFonts w:eastAsia="Calibri"/>
          <w:iCs/>
          <w:lang w:eastAsia="en-US"/>
        </w:rPr>
      </w:pPr>
    </w:p>
    <w:p w14:paraId="034C5A43" w14:textId="77777777" w:rsidR="00CF59EF" w:rsidRDefault="000B5D37">
      <w:pPr>
        <w:spacing w:line="260" w:lineRule="atLeast"/>
        <w:rPr>
          <w:rFonts w:eastAsia="Calibri"/>
          <w:b/>
          <w:iCs/>
          <w:lang w:eastAsia="en-US"/>
        </w:rPr>
      </w:pPr>
      <w:r>
        <w:rPr>
          <w:rFonts w:eastAsia="Calibri"/>
          <w:b/>
          <w:iCs/>
          <w:lang w:eastAsia="en-US"/>
        </w:rPr>
        <w:t>Calculations for scenario 8</w:t>
      </w:r>
    </w:p>
    <w:p w14:paraId="232F815A" w14:textId="77777777" w:rsidR="00CF59EF" w:rsidRDefault="00CF59EF">
      <w:pPr>
        <w:spacing w:line="260" w:lineRule="atLeast"/>
        <w:rPr>
          <w:rFonts w:eastAsia="Calibri"/>
          <w:b/>
          <w:iCs/>
          <w:lang w:eastAsia="en-US"/>
        </w:rPr>
      </w:pPr>
    </w:p>
    <w:p w14:paraId="70821856" w14:textId="77777777" w:rsidR="00CF59EF" w:rsidRDefault="000B5D37">
      <w:pPr>
        <w:spacing w:line="260" w:lineRule="atLeast"/>
        <w:rPr>
          <w:rFonts w:eastAsia="Calibri"/>
          <w:iCs/>
          <w:lang w:eastAsia="en-US"/>
        </w:rPr>
      </w:pPr>
      <w:r>
        <w:rPr>
          <w:rFonts w:eastAsia="Calibri"/>
          <w:iCs/>
          <w:lang w:eastAsia="en-US"/>
        </w:rPr>
        <w:t xml:space="preserve">A consumer uses a laundry detergent liquid preserved with sodium benzoate at a maximal concentration of 2.5% (expressed as benzoic acid) to do the hand-wash laundry once daily.  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The default settings were applied, unless stated otherwise. As the vapour pressure of sodium benzoate is extremely low, its evaporation from aqueous solution is considered to be negligible; thus no respiratory exposure is expected. For dermal exposure the exposed area was set to 1948.8 cm</w:t>
      </w:r>
      <w:r>
        <w:rPr>
          <w:rFonts w:eastAsia="Calibri"/>
          <w:iCs/>
          <w:vertAlign w:val="superscript"/>
          <w:lang w:eastAsia="en-US"/>
        </w:rPr>
        <w:t>2</w:t>
      </w:r>
      <w:r>
        <w:rPr>
          <w:rFonts w:eastAsia="Calibri"/>
          <w:iCs/>
          <w:lang w:eastAsia="en-US"/>
        </w:rPr>
        <w:t xml:space="preserve"> (the area of both hands and lower forearms), while the body weight of the consumer was set to 60 kg according to HEEG Opinion 18 on Default human factor values for use in exposure assessments for biocidal products, endorsed at TM II 2013. It is assumed that not the total amount of diluted product is in contact with the skin but only a layer around the exposed skin. The TGD estimated the thickness of a product layer on the skin at 0.01 cm; thus, the amount of diluted product is 19.49 cm</w:t>
      </w:r>
      <w:r>
        <w:rPr>
          <w:rFonts w:eastAsia="Calibri"/>
          <w:iCs/>
          <w:vertAlign w:val="superscript"/>
          <w:lang w:eastAsia="en-US"/>
        </w:rPr>
        <w:t>3</w:t>
      </w:r>
      <w:r>
        <w:rPr>
          <w:rFonts w:eastAsia="Calibri"/>
          <w:iCs/>
          <w:lang w:eastAsia="en-US"/>
        </w:rPr>
        <w:t xml:space="preserve">, or 19.49 g. The weight fraction of the diluted laundry detergent in laundering solutions is 1%, thus the weight fraction of sodium benzoate in the in-use solution was calculated to be 0.025%. Dermal absorption of sodium benzoate was set at 75% in accordance with the EFSA Guidance on dermal absorption (2012). The resulting exposure estimates are presented in Annex 3.2. The internal systemic exposure to sodium benzoate is equal to 0.0609 mg/kg </w:t>
      </w:r>
      <w:proofErr w:type="spellStart"/>
      <w:r>
        <w:rPr>
          <w:rFonts w:eastAsia="Calibri"/>
          <w:iCs/>
          <w:lang w:eastAsia="en-US"/>
        </w:rPr>
        <w:t>bw</w:t>
      </w:r>
      <w:proofErr w:type="spellEnd"/>
      <w:r>
        <w:rPr>
          <w:rFonts w:eastAsia="Calibri"/>
          <w:iCs/>
          <w:lang w:eastAsia="en-US"/>
        </w:rPr>
        <w:t xml:space="preserve">/day. </w:t>
      </w:r>
    </w:p>
    <w:p w14:paraId="49EC8664" w14:textId="77777777" w:rsidR="00CF59EF" w:rsidRDefault="00CF59EF">
      <w:pPr>
        <w:spacing w:line="260" w:lineRule="atLeast"/>
        <w:rPr>
          <w:rFonts w:eastAsia="Calibri"/>
          <w:iCs/>
          <w:lang w:eastAsia="en-US"/>
        </w:rPr>
      </w:pPr>
    </w:p>
    <w:p w14:paraId="11EC7A94" w14:textId="77777777" w:rsidR="00CF59EF" w:rsidRDefault="00CF59EF">
      <w:pPr>
        <w:spacing w:line="260" w:lineRule="atLeast"/>
        <w:rPr>
          <w:rFonts w:eastAsia="Calibri"/>
          <w:iCs/>
          <w:lang w:eastAsia="en-US"/>
        </w:rPr>
      </w:pPr>
    </w:p>
    <w:p w14:paraId="382747D9" w14:textId="77777777" w:rsidR="00CF59EF" w:rsidRDefault="000B5D37">
      <w:pPr>
        <w:rPr>
          <w:rFonts w:eastAsia="Calibri"/>
          <w:i/>
          <w:sz w:val="22"/>
          <w:szCs w:val="22"/>
          <w:u w:val="single"/>
          <w:lang w:eastAsia="en-US"/>
        </w:rPr>
      </w:pPr>
      <w:r>
        <w:rPr>
          <w:rFonts w:eastAsia="Calibri"/>
          <w:i/>
          <w:sz w:val="22"/>
          <w:szCs w:val="22"/>
          <w:u w:val="single"/>
          <w:lang w:eastAsia="en-US"/>
        </w:rPr>
        <w:t>Scenario 9: Use of all-purpose cleaners preserved with the product by non-professional users</w:t>
      </w:r>
    </w:p>
    <w:p w14:paraId="55FC1FA1" w14:textId="77777777" w:rsidR="00CF59EF" w:rsidRDefault="00CF59EF">
      <w:pPr>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8"/>
        <w:gridCol w:w="4281"/>
        <w:gridCol w:w="3072"/>
      </w:tblGrid>
      <w:tr w:rsidR="00CF59EF" w14:paraId="3E0DD393"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44564E7C" w14:textId="77777777" w:rsidR="00CF59EF" w:rsidRDefault="000B5D37">
            <w:pPr>
              <w:spacing w:line="260" w:lineRule="atLeast"/>
              <w:rPr>
                <w:rFonts w:eastAsia="Calibri"/>
                <w:b/>
                <w:lang w:eastAsia="en-US"/>
              </w:rPr>
            </w:pPr>
            <w:r>
              <w:rPr>
                <w:rFonts w:eastAsia="Calibri"/>
                <w:b/>
                <w:lang w:eastAsia="en-US"/>
              </w:rPr>
              <w:lastRenderedPageBreak/>
              <w:t>Description of Scenario 9</w:t>
            </w:r>
          </w:p>
        </w:tc>
      </w:tr>
      <w:tr w:rsidR="00CF59EF" w14:paraId="7B45CCAC"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7A70CA" w14:textId="77777777" w:rsidR="00CF59EF" w:rsidRDefault="000B5D37">
            <w:pPr>
              <w:spacing w:line="260" w:lineRule="atLeast"/>
              <w:jc w:val="both"/>
              <w:rPr>
                <w:rFonts w:eastAsia="Calibri"/>
                <w:lang w:eastAsia="en-US"/>
              </w:rPr>
            </w:pPr>
            <w:r>
              <w:rPr>
                <w:rFonts w:eastAsia="Calibri"/>
                <w:lang w:eastAsia="en-US"/>
              </w:rPr>
              <w:t>A consumer uses a liquid cleaner preserved with sodium benzoate at a maximal concentration of 2.5% (w/w, expressed as benzoic acid) to clean 10 m</w:t>
            </w:r>
            <w:r>
              <w:rPr>
                <w:rFonts w:eastAsia="Calibri"/>
                <w:vertAlign w:val="superscript"/>
                <w:lang w:eastAsia="en-US"/>
              </w:rPr>
              <w:t>2</w:t>
            </w:r>
            <w:r>
              <w:rPr>
                <w:rFonts w:eastAsia="Calibri"/>
                <w:lang w:eastAsia="en-US"/>
              </w:rPr>
              <w:t xml:space="preserve"> of furniture such as tables and cupboards in the living room.</w:t>
            </w:r>
          </w:p>
        </w:tc>
      </w:tr>
      <w:tr w:rsidR="00CF59EF" w14:paraId="54F5D0B0" w14:textId="77777777"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C9D3C7"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CE4559" w14:textId="77777777"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4728D2" w14:textId="77777777" w:rsidR="00CF59EF" w:rsidRDefault="000B5D37">
            <w:pPr>
              <w:spacing w:line="260" w:lineRule="atLeast"/>
              <w:rPr>
                <w:rFonts w:eastAsia="Calibri"/>
                <w:lang w:eastAsia="en-US"/>
              </w:rPr>
            </w:pPr>
            <w:r>
              <w:rPr>
                <w:rFonts w:eastAsia="Calibri"/>
                <w:lang w:eastAsia="en-US"/>
              </w:rPr>
              <w:t>Value</w:t>
            </w:r>
          </w:p>
        </w:tc>
      </w:tr>
      <w:tr w:rsidR="00EA13B1" w14:paraId="11478A05" w14:textId="77777777" w:rsidTr="008D3FA2">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14:paraId="7553C5F4"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DE0F90" w14:textId="77777777" w:rsidR="00EA13B1" w:rsidRDefault="00EA13B1" w:rsidP="00EA13B1">
            <w:pPr>
              <w:spacing w:line="260" w:lineRule="atLeast"/>
              <w:rPr>
                <w:rFonts w:eastAsia="Calibri"/>
                <w:sz w:val="18"/>
                <w:lang w:eastAsia="en-US"/>
              </w:rPr>
            </w:pPr>
            <w:r>
              <w:rPr>
                <w:rFonts w:eastAsia="Calibri"/>
                <w:lang w:eastAsia="en-US"/>
              </w:rPr>
              <w:t xml:space="preserve">weight fraction sodium benzoate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07CCC5" w14:textId="77777777" w:rsidR="00EA13B1" w:rsidRDefault="00EA13B1" w:rsidP="003E2A78">
            <w:pPr>
              <w:spacing w:line="260" w:lineRule="atLeast"/>
              <w:rPr>
                <w:rFonts w:eastAsia="Calibri"/>
                <w:lang w:eastAsia="en-US"/>
              </w:rPr>
            </w:pPr>
            <w:r>
              <w:rPr>
                <w:rFonts w:eastAsia="Calibri"/>
                <w:lang w:eastAsia="en-US"/>
              </w:rPr>
              <w:t>0.031%(w/w, exposed as benzoic acid)</w:t>
            </w:r>
          </w:p>
        </w:tc>
      </w:tr>
      <w:tr w:rsidR="00EA13B1" w14:paraId="6BDAFF05" w14:textId="77777777" w:rsidTr="008D3FA2">
        <w:trPr>
          <w:tblHeader/>
        </w:trPr>
        <w:tc>
          <w:tcPr>
            <w:tcW w:w="1789" w:type="dxa"/>
            <w:vMerge/>
            <w:tcBorders>
              <w:left w:val="single" w:sz="4" w:space="0" w:color="00000A"/>
              <w:right w:val="single" w:sz="4" w:space="0" w:color="00000A"/>
            </w:tcBorders>
            <w:shd w:val="clear" w:color="auto" w:fill="auto"/>
            <w:tcMar>
              <w:left w:w="70" w:type="dxa"/>
            </w:tcMar>
          </w:tcPr>
          <w:p w14:paraId="00869D3D"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4AE236" w14:textId="77777777" w:rsidR="00EA13B1" w:rsidRDefault="00EA13B1">
            <w:pPr>
              <w:spacing w:line="260" w:lineRule="atLeast"/>
              <w:rPr>
                <w:rFonts w:eastAsia="Calibri"/>
                <w:lang w:eastAsia="en-US"/>
              </w:rPr>
            </w:pPr>
            <w:r>
              <w:rPr>
                <w:rFonts w:eastAsia="Calibri"/>
                <w:lang w:eastAsia="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D4FC2D" w14:textId="77777777" w:rsidR="00EA13B1" w:rsidRDefault="00EA13B1">
            <w:pPr>
              <w:spacing w:line="260" w:lineRule="atLeast"/>
              <w:rPr>
                <w:rFonts w:eastAsia="Calibri"/>
                <w:lang w:eastAsia="en-US"/>
              </w:rPr>
            </w:pPr>
            <w:r>
              <w:rPr>
                <w:rFonts w:eastAsia="Calibri"/>
                <w:lang w:eastAsia="en-US"/>
              </w:rPr>
              <w:t>75%</w:t>
            </w:r>
          </w:p>
        </w:tc>
      </w:tr>
      <w:tr w:rsidR="00EA13B1" w14:paraId="7CB7B6A4" w14:textId="77777777" w:rsidTr="008D3FA2">
        <w:trPr>
          <w:tblHeader/>
        </w:trPr>
        <w:tc>
          <w:tcPr>
            <w:tcW w:w="1789" w:type="dxa"/>
            <w:vMerge/>
            <w:tcBorders>
              <w:left w:val="single" w:sz="4" w:space="0" w:color="00000A"/>
              <w:right w:val="single" w:sz="4" w:space="0" w:color="00000A"/>
            </w:tcBorders>
            <w:shd w:val="clear" w:color="auto" w:fill="auto"/>
            <w:tcMar>
              <w:left w:w="70" w:type="dxa"/>
            </w:tcMar>
          </w:tcPr>
          <w:p w14:paraId="4B765741"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E3CF2" w14:textId="77777777" w:rsidR="00EA13B1" w:rsidRDefault="00EA13B1">
            <w:pPr>
              <w:spacing w:line="260" w:lineRule="atLeast"/>
              <w:rPr>
                <w:rFonts w:eastAsia="Calibri"/>
                <w:lang w:eastAsia="en-US"/>
              </w:rPr>
            </w:pPr>
            <w:r>
              <w:rPr>
                <w:rFonts w:eastAsia="Calibri"/>
                <w:lang w:eastAsia="en-US"/>
              </w:rPr>
              <w:t>exposure area</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74CBB5" w14:textId="77777777" w:rsidR="00EA13B1" w:rsidRDefault="00EA13B1">
            <w:pPr>
              <w:spacing w:line="260" w:lineRule="atLeast"/>
              <w:rPr>
                <w:rFonts w:eastAsia="Calibri"/>
                <w:lang w:eastAsia="en-US"/>
              </w:rPr>
            </w:pP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p>
        </w:tc>
      </w:tr>
      <w:tr w:rsidR="00EA13B1" w14:paraId="50414B32" w14:textId="77777777" w:rsidTr="008D3FA2">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14:paraId="2EE6B441"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9DF30F" w14:textId="77777777" w:rsidR="00EA13B1" w:rsidRDefault="00EA13B1">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82714C" w14:textId="77777777" w:rsidR="00EA13B1" w:rsidRDefault="00EA13B1">
            <w:pPr>
              <w:spacing w:line="260" w:lineRule="atLeast"/>
              <w:rPr>
                <w:rFonts w:eastAsia="Calibri"/>
                <w:iCs/>
                <w:lang w:eastAsia="en-US"/>
              </w:rPr>
            </w:pPr>
            <w:r>
              <w:rPr>
                <w:rFonts w:eastAsia="Calibri"/>
                <w:iCs/>
                <w:lang w:eastAsia="en-US"/>
              </w:rPr>
              <w:t>60 kg</w:t>
            </w:r>
          </w:p>
        </w:tc>
      </w:tr>
    </w:tbl>
    <w:p w14:paraId="73EEAE27" w14:textId="77777777" w:rsidR="00CF59EF" w:rsidRDefault="00CF59EF">
      <w:pPr>
        <w:spacing w:line="260" w:lineRule="atLeast"/>
        <w:rPr>
          <w:rFonts w:eastAsia="Calibri"/>
          <w:iCs/>
          <w:lang w:eastAsia="en-US"/>
        </w:rPr>
      </w:pPr>
    </w:p>
    <w:p w14:paraId="269C0B13" w14:textId="77777777" w:rsidR="009E1039" w:rsidRDefault="009E1039">
      <w:pPr>
        <w:spacing w:line="260" w:lineRule="atLeast"/>
        <w:rPr>
          <w:rFonts w:eastAsia="Calibri"/>
          <w:iCs/>
          <w:lang w:eastAsia="en-US"/>
        </w:rPr>
      </w:pPr>
    </w:p>
    <w:p w14:paraId="4B61A9F3" w14:textId="77777777" w:rsidR="00CF59EF" w:rsidRDefault="000B5D37">
      <w:pPr>
        <w:spacing w:line="260" w:lineRule="atLeast"/>
        <w:rPr>
          <w:rFonts w:eastAsia="Calibri"/>
          <w:b/>
          <w:iCs/>
          <w:lang w:eastAsia="en-US"/>
        </w:rPr>
      </w:pPr>
      <w:r>
        <w:rPr>
          <w:rFonts w:eastAsia="Calibri"/>
          <w:b/>
          <w:iCs/>
          <w:lang w:eastAsia="en-US"/>
        </w:rPr>
        <w:t xml:space="preserve">Calculations for scenario 9 </w:t>
      </w:r>
    </w:p>
    <w:p w14:paraId="7CC1A524" w14:textId="77777777" w:rsidR="00CF59EF" w:rsidRDefault="00CF59EF">
      <w:pPr>
        <w:spacing w:line="260" w:lineRule="atLeast"/>
        <w:rPr>
          <w:rFonts w:eastAsia="Calibri"/>
          <w:b/>
          <w:iCs/>
          <w:lang w:eastAsia="en-US"/>
        </w:rPr>
      </w:pPr>
    </w:p>
    <w:p w14:paraId="2BE95C6D" w14:textId="77777777" w:rsidR="00CF59EF" w:rsidRDefault="000B5D37">
      <w:pPr>
        <w:spacing w:line="260" w:lineRule="atLeast"/>
        <w:rPr>
          <w:rFonts w:eastAsia="Calibri"/>
          <w:iCs/>
          <w:lang w:eastAsia="en-US"/>
        </w:rPr>
      </w:pPr>
      <w:r>
        <w:rPr>
          <w:rFonts w:eastAsia="Calibri"/>
          <w:lang w:eastAsia="en-US"/>
        </w:rPr>
        <w:t>A consumer uses a liquid cleaner preserved with sodium benzoate at a maximal concentration of 2.5% (w/w, expressed as benzoic acid) to clean 10 m</w:t>
      </w:r>
      <w:r>
        <w:rPr>
          <w:rFonts w:eastAsia="Calibri"/>
          <w:vertAlign w:val="superscript"/>
          <w:lang w:eastAsia="en-US"/>
        </w:rPr>
        <w:t>2</w:t>
      </w:r>
      <w:r>
        <w:rPr>
          <w:rFonts w:eastAsia="Calibri"/>
          <w:lang w:eastAsia="en-US"/>
        </w:rPr>
        <w:t xml:space="preserve"> of furniture such as tables and cupboards in the living </w:t>
      </w:r>
      <w:proofErr w:type="spellStart"/>
      <w:r>
        <w:rPr>
          <w:rFonts w:eastAsia="Calibri"/>
          <w:lang w:eastAsia="en-US"/>
        </w:rPr>
        <w:t>room.</w:t>
      </w:r>
      <w:r>
        <w:rPr>
          <w:rFonts w:eastAsia="Calibri"/>
          <w:iCs/>
          <w:lang w:eastAsia="en-US"/>
        </w:rPr>
        <w:t>The</w:t>
      </w:r>
      <w:proofErr w:type="spellEnd"/>
      <w:r>
        <w:rPr>
          <w:rFonts w:eastAsia="Calibri"/>
          <w:iCs/>
          <w:lang w:eastAsia="en-US"/>
        </w:rPr>
        <w:t xml:space="preserv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As the vapour pressure of sodium benzoate is extremely low, its evaporation from aqueous solution is considered to be negligible; thus no respiratory exposure is expected. The application duration is considered to be 20 minutes (default </w:t>
      </w:r>
      <w:proofErr w:type="spellStart"/>
      <w:r>
        <w:rPr>
          <w:rFonts w:eastAsia="Calibri"/>
          <w:iCs/>
          <w:lang w:eastAsia="en-US"/>
        </w:rPr>
        <w:t>ConsExpo</w:t>
      </w:r>
      <w:proofErr w:type="spellEnd"/>
      <w:r>
        <w:rPr>
          <w:rFonts w:eastAsia="Calibri"/>
          <w:iCs/>
          <w:lang w:eastAsia="en-US"/>
        </w:rPr>
        <w:t xml:space="preserve"> 4.1). The default scenario assumes that 63 g of the product is diluted in 5 L water, which gives a dilution of 80 times. Therefore the resulting weight fraction of sodium benzoate in the generated solution is calculated as (2.5%/80 =) 0.031%. For dermal exposure, the exposed area was set to 1948.8 cm</w:t>
      </w:r>
      <w:r>
        <w:rPr>
          <w:rFonts w:eastAsia="Calibri"/>
          <w:iCs/>
          <w:vertAlign w:val="superscript"/>
          <w:lang w:eastAsia="en-US"/>
        </w:rPr>
        <w:t>2</w:t>
      </w:r>
      <w:r>
        <w:rPr>
          <w:rFonts w:eastAsia="Calibri"/>
          <w:iCs/>
          <w:lang w:eastAsia="en-US"/>
        </w:rPr>
        <w:t xml:space="preserve"> (the area of both hands and lower forearms), while the body weight of the consumer was set to 60 kg according to HEEG Opinion 18 on Default human factor values for use in exposure assessments for biocidal products, endorsed at TM II 2013. It is considered that the water layer of 0.01 cm comes into contact with the consumer skin; respectively, the product amount which can get absorbed through the skin, is calculated as (1948.8 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BC5238">
        <w:rPr>
          <w:rFonts w:eastAsia="Calibri"/>
          <w:iCs/>
          <w:lang w:eastAsia="en-US"/>
        </w:rPr>
        <w:t>19.49</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Dermal absorption of sodium benzoate was set at 75% in accordance with the EFSA Guidance on dermal absorption (2012). The resulting exposure estimates are presented in Annex 3.2. The internal systemic exposure to sodium benzoate is equal to 0.</w:t>
      </w:r>
      <w:r w:rsidR="00BC5238">
        <w:rPr>
          <w:rFonts w:eastAsia="Calibri"/>
          <w:iCs/>
          <w:lang w:eastAsia="en-US"/>
        </w:rPr>
        <w:t xml:space="preserve">081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/day</w:t>
      </w:r>
      <w:r w:rsidR="00E37E68">
        <w:rPr>
          <w:rFonts w:eastAsia="Calibri"/>
          <w:iCs/>
          <w:lang w:eastAsia="en-US"/>
        </w:rPr>
        <w:t xml:space="preserve"> ((</w:t>
      </w:r>
      <w:r w:rsidR="00BC5238">
        <w:rPr>
          <w:rFonts w:eastAsia="Calibri"/>
          <w:iCs/>
          <w:lang w:eastAsia="en-US"/>
        </w:rPr>
        <w:t>19.49</w:t>
      </w:r>
      <w:r w:rsidR="00E37E68">
        <w:rPr>
          <w:rFonts w:eastAsia="Calibri"/>
          <w:iCs/>
          <w:lang w:eastAsia="en-US"/>
        </w:rPr>
        <w:t>x0.031%x75%):60)</w:t>
      </w:r>
      <w:r>
        <w:rPr>
          <w:rFonts w:eastAsia="Calibri"/>
          <w:iCs/>
          <w:lang w:eastAsia="en-US"/>
        </w:rPr>
        <w:t xml:space="preserve">. </w:t>
      </w:r>
    </w:p>
    <w:p w14:paraId="328B8F4D" w14:textId="77777777" w:rsidR="00CF59EF" w:rsidRDefault="00CF59EF">
      <w:pPr>
        <w:spacing w:line="260" w:lineRule="atLeast"/>
        <w:rPr>
          <w:rFonts w:eastAsia="Calibri"/>
          <w:iCs/>
          <w:lang w:eastAsia="en-US"/>
        </w:rPr>
      </w:pPr>
    </w:p>
    <w:p w14:paraId="2F053E50" w14:textId="77777777" w:rsidR="00CF59EF" w:rsidRDefault="00CF59EF">
      <w:pPr>
        <w:spacing w:line="260" w:lineRule="atLeast"/>
        <w:rPr>
          <w:rFonts w:eastAsia="Calibri"/>
          <w:iCs/>
          <w:lang w:eastAsia="en-US"/>
        </w:rPr>
      </w:pPr>
    </w:p>
    <w:p w14:paraId="77344585" w14:textId="77777777" w:rsidR="009E1039" w:rsidRDefault="009E1039">
      <w:pPr>
        <w:spacing w:line="260" w:lineRule="atLeast"/>
        <w:rPr>
          <w:rFonts w:eastAsia="Calibri"/>
          <w:iCs/>
          <w:lang w:eastAsia="en-US"/>
        </w:rPr>
      </w:pPr>
    </w:p>
    <w:p w14:paraId="2B5C03F1" w14:textId="77777777" w:rsidR="009E1039" w:rsidRDefault="009E1039">
      <w:pPr>
        <w:spacing w:line="260" w:lineRule="atLeast"/>
        <w:rPr>
          <w:rFonts w:eastAsia="Calibri"/>
          <w:iCs/>
          <w:lang w:eastAsia="en-US"/>
        </w:rPr>
      </w:pPr>
    </w:p>
    <w:p w14:paraId="040FFB83" w14:textId="77777777" w:rsidR="00CF59EF" w:rsidRDefault="000B5D37">
      <w:pPr>
        <w:rPr>
          <w:rFonts w:eastAsia="Calibri"/>
          <w:i/>
          <w:sz w:val="22"/>
          <w:szCs w:val="22"/>
          <w:u w:val="single"/>
          <w:lang w:eastAsia="en-US"/>
        </w:rPr>
      </w:pPr>
      <w:r>
        <w:rPr>
          <w:rFonts w:eastAsia="Calibri"/>
          <w:i/>
          <w:sz w:val="22"/>
          <w:szCs w:val="22"/>
          <w:u w:val="single"/>
          <w:lang w:eastAsia="en-US"/>
        </w:rPr>
        <w:t>Scenario 10: Exposure of general public to residues of the product in laundered clothing - adults</w:t>
      </w:r>
    </w:p>
    <w:p w14:paraId="74308496" w14:textId="77777777"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9"/>
        <w:gridCol w:w="4286"/>
        <w:gridCol w:w="3066"/>
      </w:tblGrid>
      <w:tr w:rsidR="00CF59EF" w14:paraId="4308B088"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045B70F2" w14:textId="77777777" w:rsidR="00CF59EF" w:rsidRDefault="000B5D37">
            <w:pPr>
              <w:spacing w:line="260" w:lineRule="atLeast"/>
              <w:rPr>
                <w:rFonts w:eastAsia="Calibri"/>
                <w:b/>
                <w:lang w:eastAsia="en-US"/>
              </w:rPr>
            </w:pPr>
            <w:r>
              <w:rPr>
                <w:rFonts w:eastAsia="Calibri"/>
                <w:b/>
                <w:lang w:eastAsia="en-US"/>
              </w:rPr>
              <w:lastRenderedPageBreak/>
              <w:t>Description of Scenario 10</w:t>
            </w:r>
          </w:p>
        </w:tc>
      </w:tr>
      <w:tr w:rsidR="00CF59EF" w14:paraId="405F450D" w14:textId="77777777"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692939" w14:textId="77777777" w:rsidR="00CF59EF" w:rsidRDefault="000B5D37" w:rsidP="00E35FE3">
            <w:pPr>
              <w:spacing w:line="260" w:lineRule="atLeast"/>
              <w:jc w:val="both"/>
              <w:rPr>
                <w:rFonts w:eastAsia="Calibri"/>
                <w:lang w:eastAsia="en-US"/>
              </w:rPr>
            </w:pPr>
            <w:r>
              <w:rPr>
                <w:rFonts w:eastAsia="Calibri"/>
                <w:lang w:eastAsia="en-US"/>
              </w:rPr>
              <w:t xml:space="preserve">An adult consumer is exposed to residues of sodium benzoate in laundered clothes via contact with skin. The total weight of the clothes is considered to be 1 kg. </w:t>
            </w:r>
          </w:p>
        </w:tc>
      </w:tr>
      <w:tr w:rsidR="00CF59EF" w14:paraId="0E8433DC" w14:textId="77777777"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E8D94B"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E4D65A"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003F2A" w14:textId="77777777" w:rsidR="00CF59EF" w:rsidRDefault="000B5D37">
            <w:pPr>
              <w:spacing w:line="260" w:lineRule="atLeast"/>
              <w:rPr>
                <w:rFonts w:eastAsia="Calibri"/>
                <w:lang w:eastAsia="en-US"/>
              </w:rPr>
            </w:pPr>
            <w:r>
              <w:rPr>
                <w:rFonts w:eastAsia="Calibri"/>
                <w:lang w:eastAsia="en-US"/>
              </w:rPr>
              <w:t>Value</w:t>
            </w:r>
          </w:p>
        </w:tc>
      </w:tr>
      <w:tr w:rsidR="00EA13B1" w14:paraId="4F291518" w14:textId="77777777" w:rsidTr="00EA13B1">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14:paraId="00C62D4F" w14:textId="77777777"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C4CD85" w14:textId="77777777" w:rsidR="00EA13B1" w:rsidRDefault="00EA13B1">
            <w:pPr>
              <w:spacing w:line="260" w:lineRule="atLeast"/>
              <w:rPr>
                <w:rFonts w:eastAsia="Calibri"/>
                <w:lang w:eastAsia="en-US"/>
              </w:rPr>
            </w:pPr>
            <w:r>
              <w:rPr>
                <w:rFonts w:eastAsia="Calibri"/>
                <w:lang w:eastAsia="en-US"/>
              </w:rPr>
              <w:t xml:space="preserve">leachable fraction  (w/w, expressed as benzoic acid),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0D4C66" w14:textId="77777777" w:rsidR="00EA13B1" w:rsidRDefault="00EA13B1">
            <w:pPr>
              <w:spacing w:line="260" w:lineRule="atLeast"/>
              <w:rPr>
                <w:rFonts w:eastAsia="Calibri"/>
                <w:lang w:eastAsia="en-US"/>
              </w:rPr>
            </w:pPr>
          </w:p>
          <w:p w14:paraId="2338A545" w14:textId="77777777" w:rsidR="00EA13B1" w:rsidRDefault="00EA13B1">
            <w:pPr>
              <w:spacing w:line="260" w:lineRule="atLeast"/>
              <w:rPr>
                <w:rFonts w:eastAsia="Calibri"/>
                <w:lang w:eastAsia="en-US"/>
              </w:rPr>
            </w:pPr>
            <w:r>
              <w:rPr>
                <w:rFonts w:eastAsia="Calibri"/>
                <w:lang w:eastAsia="en-US"/>
              </w:rPr>
              <w:t>0.00575%</w:t>
            </w:r>
          </w:p>
        </w:tc>
      </w:tr>
      <w:tr w:rsidR="00EA13B1" w14:paraId="512338BF" w14:textId="77777777" w:rsidTr="00EA13B1">
        <w:trPr>
          <w:tblHeader/>
        </w:trPr>
        <w:tc>
          <w:tcPr>
            <w:tcW w:w="1789" w:type="dxa"/>
            <w:vMerge/>
            <w:tcBorders>
              <w:left w:val="single" w:sz="4" w:space="0" w:color="00000A"/>
              <w:right w:val="single" w:sz="4" w:space="0" w:color="00000A"/>
            </w:tcBorders>
            <w:shd w:val="clear" w:color="auto" w:fill="auto"/>
            <w:tcMar>
              <w:left w:w="70" w:type="dxa"/>
            </w:tcMar>
          </w:tcPr>
          <w:p w14:paraId="761B0911"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37B8BB" w14:textId="77777777" w:rsidR="00EA13B1" w:rsidRDefault="007B132B">
            <w:pPr>
              <w:spacing w:line="260" w:lineRule="atLeast"/>
              <w:rPr>
                <w:rFonts w:eastAsia="Calibri"/>
                <w:lang w:eastAsia="en-US"/>
              </w:rPr>
            </w:pPr>
            <w:r>
              <w:rPr>
                <w:rFonts w:eastAsia="Calibri"/>
                <w:lang w:eastAsia="en-US"/>
              </w:rPr>
              <w:t xml:space="preserve">amount of clothes worn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B6929C" w14:textId="77777777" w:rsidR="00EA13B1" w:rsidRDefault="007B132B">
            <w:pPr>
              <w:spacing w:line="260" w:lineRule="atLeast"/>
              <w:rPr>
                <w:rFonts w:eastAsia="Calibri"/>
                <w:lang w:eastAsia="en-US"/>
              </w:rPr>
            </w:pPr>
            <w:r>
              <w:rPr>
                <w:rFonts w:eastAsia="Calibri"/>
                <w:lang w:eastAsia="en-US"/>
              </w:rPr>
              <w:t>1000 g</w:t>
            </w:r>
          </w:p>
        </w:tc>
      </w:tr>
      <w:tr w:rsidR="00EA13B1" w14:paraId="17EBDDB8" w14:textId="77777777" w:rsidTr="00EA13B1">
        <w:trPr>
          <w:tblHeader/>
        </w:trPr>
        <w:tc>
          <w:tcPr>
            <w:tcW w:w="1789" w:type="dxa"/>
            <w:vMerge/>
            <w:tcBorders>
              <w:left w:val="single" w:sz="4" w:space="0" w:color="00000A"/>
              <w:right w:val="single" w:sz="4" w:space="0" w:color="00000A"/>
            </w:tcBorders>
            <w:shd w:val="clear" w:color="auto" w:fill="auto"/>
            <w:tcMar>
              <w:left w:w="70" w:type="dxa"/>
            </w:tcMar>
          </w:tcPr>
          <w:p w14:paraId="4F44DB91"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A81DE6" w14:textId="77777777" w:rsidR="00EA13B1" w:rsidRDefault="00EA13B1">
            <w:pPr>
              <w:spacing w:line="260" w:lineRule="atLeast"/>
              <w:rPr>
                <w:rFonts w:eastAsia="Calibri"/>
                <w:lang w:eastAsia="en-US"/>
              </w:rPr>
            </w:pPr>
            <w:r>
              <w:rPr>
                <w:rFonts w:eastAsia="Calibri"/>
                <w:lang w:eastAsia="en-US"/>
              </w:rPr>
              <w:t xml:space="preserve">Dermal absorption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8FBA54" w14:textId="77777777" w:rsidR="00EA13B1" w:rsidRDefault="00EA13B1">
            <w:pPr>
              <w:spacing w:line="260" w:lineRule="atLeast"/>
              <w:rPr>
                <w:rFonts w:eastAsia="Calibri"/>
                <w:lang w:eastAsia="en-US"/>
              </w:rPr>
            </w:pPr>
            <w:r>
              <w:rPr>
                <w:rFonts w:eastAsia="Calibri"/>
                <w:lang w:eastAsia="en-US"/>
              </w:rPr>
              <w:t xml:space="preserve"> 75%</w:t>
            </w:r>
          </w:p>
        </w:tc>
      </w:tr>
      <w:tr w:rsidR="00EA13B1" w14:paraId="7499748D" w14:textId="77777777" w:rsidTr="00EA13B1">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14:paraId="4EA58DF8" w14:textId="77777777"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4450CA" w14:textId="77777777" w:rsidR="00EA13B1" w:rsidRDefault="00EA13B1">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DC2C3A" w14:textId="77777777" w:rsidR="00EA13B1" w:rsidRDefault="00EA13B1">
            <w:pPr>
              <w:spacing w:line="260" w:lineRule="atLeast"/>
              <w:rPr>
                <w:rFonts w:eastAsia="Calibri"/>
                <w:lang w:eastAsia="en-US"/>
              </w:rPr>
            </w:pPr>
            <w:r>
              <w:rPr>
                <w:rFonts w:eastAsia="Calibri"/>
                <w:lang w:eastAsia="en-US"/>
              </w:rPr>
              <w:t>60 kg</w:t>
            </w:r>
          </w:p>
        </w:tc>
      </w:tr>
    </w:tbl>
    <w:p w14:paraId="3E192A00" w14:textId="77777777" w:rsidR="00CF59EF" w:rsidRDefault="00CF59EF">
      <w:pPr>
        <w:spacing w:line="260" w:lineRule="atLeast"/>
        <w:rPr>
          <w:rFonts w:eastAsia="Calibri"/>
          <w:lang w:eastAsia="en-US"/>
        </w:rPr>
      </w:pPr>
    </w:p>
    <w:p w14:paraId="666D27AD" w14:textId="77777777" w:rsidR="00CF59EF" w:rsidRDefault="000B5D37">
      <w:pPr>
        <w:spacing w:line="260" w:lineRule="atLeast"/>
        <w:rPr>
          <w:rFonts w:eastAsia="Calibri"/>
          <w:b/>
          <w:lang w:eastAsia="en-US"/>
        </w:rPr>
      </w:pPr>
      <w:r>
        <w:rPr>
          <w:rFonts w:eastAsia="Calibri"/>
          <w:b/>
          <w:lang w:eastAsia="en-US"/>
        </w:rPr>
        <w:t>Calculations for Scenario 10</w:t>
      </w:r>
    </w:p>
    <w:p w14:paraId="04980459" w14:textId="77777777" w:rsidR="00CF59EF" w:rsidRDefault="000B5D37">
      <w:pPr>
        <w:spacing w:line="260" w:lineRule="atLeast"/>
        <w:rPr>
          <w:rFonts w:eastAsia="Calibri"/>
          <w:iCs/>
          <w:lang w:eastAsia="en-US"/>
        </w:rPr>
      </w:pPr>
      <w:r>
        <w:rPr>
          <w:rFonts w:eastAsia="Calibri"/>
          <w:lang w:eastAsia="en-US"/>
        </w:rPr>
        <w:t xml:space="preserve">After washing, residues of sodium benzoate from  laundry detergents may remain on clothing and migrate from textile to skin, resulting in dermal exposure. </w:t>
      </w:r>
      <w:r>
        <w:rPr>
          <w:rFonts w:eastAsia="Calibri"/>
          <w:iCs/>
          <w:lang w:eastAsia="en-US"/>
        </w:rPr>
        <w:t xml:space="preserve">As the vapour pressure of sodium benzoate is extremely low, its evaporation from fabric is considered to be negligible; thus no respiratory exposure is expected. </w:t>
      </w:r>
      <w:r>
        <w:rPr>
          <w:rFonts w:eastAsia="Calibri"/>
          <w:lang w:eastAsia="en-US"/>
        </w:rPr>
        <w:t xml:space="preserve"> </w:t>
      </w:r>
      <w:r>
        <w:rPr>
          <w:rFonts w:eastAsia="Calibri"/>
          <w:iCs/>
          <w:lang w:eastAsia="en-US"/>
        </w:rPr>
        <w:t xml:space="preserve">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w:t>
      </w:r>
      <w:r>
        <w:rPr>
          <w:rFonts w:eastAsia="Calibri"/>
          <w:lang w:eastAsia="en-US"/>
        </w:rPr>
        <w:t xml:space="preserve">It is assumed that a person wears clothes, e.g. underwear, nightclothes, blouses, trousers and socks 24 hours per day. The total weight of clothes that is worn per day, is assumed to be 1 kg (default </w:t>
      </w:r>
      <w:proofErr w:type="spellStart"/>
      <w:r>
        <w:rPr>
          <w:rFonts w:eastAsia="Calibri"/>
          <w:lang w:eastAsia="en-US"/>
        </w:rPr>
        <w:t>ConxExpo</w:t>
      </w:r>
      <w:proofErr w:type="spellEnd"/>
      <w:r>
        <w:rPr>
          <w:rFonts w:eastAsia="Calibri"/>
          <w:lang w:eastAsia="en-US"/>
        </w:rPr>
        <w:t xml:space="preserve"> 4.1). It is assumed that 115 g liquid laundry detergent is used per 5 kg laundry, and that 20% of the total product amount is remaining on the fabric (defaults </w:t>
      </w:r>
      <w:proofErr w:type="spellStart"/>
      <w:r>
        <w:rPr>
          <w:rFonts w:eastAsia="Calibri"/>
          <w:lang w:eastAsia="en-US"/>
        </w:rPr>
        <w:t>ConsExpo</w:t>
      </w:r>
      <w:proofErr w:type="spellEnd"/>
      <w:r>
        <w:rPr>
          <w:rFonts w:eastAsia="Calibri"/>
          <w:lang w:eastAsia="en-US"/>
        </w:rPr>
        <w:t xml:space="preserve"> 4.1). Based on this, the amount of liquid detergent that can adhere to the fabric, is calculated as (115/5 x 20%) = 4.6 g detergent/kg fabric. Because there are no data for the amount of detergent residues leaching from the textile, it is assumed that 50% is leachable (default </w:t>
      </w:r>
      <w:proofErr w:type="spellStart"/>
      <w:r>
        <w:rPr>
          <w:rFonts w:eastAsia="Calibri"/>
          <w:lang w:eastAsia="en-US"/>
        </w:rPr>
        <w:t>ConsExpo</w:t>
      </w:r>
      <w:proofErr w:type="spellEnd"/>
      <w:r>
        <w:rPr>
          <w:rFonts w:eastAsia="Calibri"/>
          <w:lang w:eastAsia="en-US"/>
        </w:rPr>
        <w:t xml:space="preserve"> 4.1). Respectively, the leachable weight fraction of sodium benzoate is calculated as (4.6 g/1000 g fabric x 2.5% x 50% =) 0.00575%. </w:t>
      </w:r>
      <w:r w:rsidR="00EA13B1">
        <w:rPr>
          <w:rFonts w:eastAsia="Calibri"/>
          <w:lang w:eastAsia="en-US"/>
        </w:rPr>
        <w:t>The amount of clothes</w:t>
      </w:r>
      <w:r w:rsidR="007B132B">
        <w:rPr>
          <w:rFonts w:eastAsia="Calibri"/>
          <w:lang w:eastAsia="en-US"/>
        </w:rPr>
        <w:t xml:space="preserve"> that is worn by an adult is set to be 1000 g (RIVM Cleaning Product Fact Sheet, chap 4.</w:t>
      </w:r>
      <w:r w:rsidR="005618C2">
        <w:rPr>
          <w:rFonts w:eastAsia="Calibri"/>
          <w:lang w:eastAsia="en-US"/>
        </w:rPr>
        <w:t>3.3</w:t>
      </w:r>
      <w:r w:rsidR="007B132B">
        <w:rPr>
          <w:rFonts w:eastAsia="Calibri"/>
          <w:lang w:eastAsia="en-US"/>
        </w:rPr>
        <w:t>),</w:t>
      </w:r>
      <w:r>
        <w:rPr>
          <w:rFonts w:eastAsia="Calibri"/>
          <w:lang w:eastAsia="en-US"/>
        </w:rPr>
        <w:t xml:space="preserve"> and the body weight for an adult to 60 kg according to </w:t>
      </w:r>
      <w:r>
        <w:rPr>
          <w:rFonts w:eastAsia="Calibri"/>
          <w:iCs/>
          <w:lang w:eastAsia="en-US"/>
        </w:rPr>
        <w:t xml:space="preserve">HEEG Opinion 18 on Default human factor values for use in exposure assessments for biocidal products, endorsed at TM II 2013. Dermal absorption of sodium benzoate was set at 75% in accordance with the EFSA Guidance on dermal absorption (2012). The internal systemic exposure to sodium benzoate is equal to </w:t>
      </w:r>
      <w:r w:rsidR="00B43817">
        <w:rPr>
          <w:rFonts w:eastAsia="Calibri"/>
          <w:iCs/>
          <w:lang w:eastAsia="en-US"/>
        </w:rPr>
        <w:t xml:space="preserve">(0.00575%x1000gx75%)= </w:t>
      </w:r>
      <w:r w:rsidR="002F2109">
        <w:rPr>
          <w:rFonts w:eastAsia="Calibri"/>
          <w:iCs/>
          <w:lang w:eastAsia="en-US"/>
        </w:rPr>
        <w:t>43</w:t>
      </w:r>
      <w:r>
        <w:rPr>
          <w:rFonts w:eastAsia="Calibri"/>
          <w:iCs/>
          <w:lang w:eastAsia="en-US"/>
        </w:rPr>
        <w:t xml:space="preserve"> mg/ day</w:t>
      </w:r>
      <w:r w:rsidR="002F2109">
        <w:rPr>
          <w:rFonts w:eastAsia="Calibri"/>
          <w:iCs/>
          <w:lang w:eastAsia="en-US"/>
        </w:rPr>
        <w:t xml:space="preserve"> (</w:t>
      </w:r>
      <w:r w:rsidR="00647482">
        <w:rPr>
          <w:rFonts w:eastAsia="Calibri"/>
          <w:iCs/>
          <w:lang w:eastAsia="en-US"/>
        </w:rPr>
        <w:t>0.7</w:t>
      </w:r>
      <w:r w:rsidR="00B43817">
        <w:rPr>
          <w:rFonts w:eastAsia="Calibri"/>
          <w:iCs/>
          <w:lang w:eastAsia="en-US"/>
        </w:rPr>
        <w:t>2</w:t>
      </w:r>
      <w:r w:rsidR="002F2109">
        <w:rPr>
          <w:rFonts w:eastAsia="Calibri"/>
          <w:iCs/>
          <w:lang w:eastAsia="en-US"/>
        </w:rPr>
        <w:t xml:space="preserve"> mg/kg </w:t>
      </w:r>
      <w:proofErr w:type="spellStart"/>
      <w:r w:rsidR="002F2109">
        <w:rPr>
          <w:rFonts w:eastAsia="Calibri"/>
          <w:iCs/>
          <w:lang w:eastAsia="en-US"/>
        </w:rPr>
        <w:t>bw</w:t>
      </w:r>
      <w:proofErr w:type="spellEnd"/>
      <w:r w:rsidR="002F2109">
        <w:rPr>
          <w:rFonts w:eastAsia="Calibri"/>
          <w:iCs/>
          <w:lang w:eastAsia="en-US"/>
        </w:rPr>
        <w:t>/day)</w:t>
      </w:r>
      <w:r>
        <w:rPr>
          <w:rFonts w:eastAsia="Calibri"/>
          <w:iCs/>
          <w:lang w:eastAsia="en-US"/>
        </w:rPr>
        <w:t xml:space="preserve">. </w:t>
      </w:r>
    </w:p>
    <w:p w14:paraId="56EB7E68" w14:textId="77777777" w:rsidR="00CF59EF" w:rsidRDefault="00CF59EF">
      <w:pPr>
        <w:spacing w:line="260" w:lineRule="atLeast"/>
        <w:rPr>
          <w:rFonts w:eastAsia="Calibri"/>
          <w:lang w:eastAsia="en-US"/>
        </w:rPr>
      </w:pPr>
    </w:p>
    <w:p w14:paraId="235D3ED7" w14:textId="77777777" w:rsidR="00CF59EF" w:rsidRDefault="00CF59EF">
      <w:pPr>
        <w:spacing w:line="260" w:lineRule="atLeast"/>
        <w:rPr>
          <w:rFonts w:eastAsia="Calibri"/>
          <w:lang w:eastAsia="en-US"/>
        </w:rPr>
      </w:pPr>
    </w:p>
    <w:p w14:paraId="4B407687" w14:textId="77777777" w:rsidR="00CF59EF" w:rsidRDefault="000B5D37">
      <w:pPr>
        <w:rPr>
          <w:rFonts w:eastAsia="Calibri"/>
          <w:i/>
          <w:sz w:val="22"/>
          <w:szCs w:val="22"/>
          <w:u w:val="single"/>
          <w:lang w:eastAsia="en-US"/>
        </w:rPr>
      </w:pPr>
      <w:r>
        <w:rPr>
          <w:rFonts w:eastAsia="Calibri"/>
          <w:i/>
          <w:sz w:val="22"/>
          <w:szCs w:val="22"/>
          <w:u w:val="single"/>
          <w:lang w:eastAsia="en-US"/>
        </w:rPr>
        <w:t xml:space="preserve">Scenario 11: Exposure of general public to residues of the product in laundered clothing - </w:t>
      </w:r>
      <w:r w:rsidR="002738FF">
        <w:rPr>
          <w:rFonts w:eastAsia="Calibri"/>
          <w:i/>
          <w:sz w:val="22"/>
          <w:szCs w:val="22"/>
          <w:u w:val="single"/>
          <w:lang w:eastAsia="en-US"/>
        </w:rPr>
        <w:t>infants</w:t>
      </w:r>
    </w:p>
    <w:p w14:paraId="030FEA45" w14:textId="77777777"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1"/>
        <w:gridCol w:w="4291"/>
        <w:gridCol w:w="3069"/>
      </w:tblGrid>
      <w:tr w:rsidR="00CF59EF" w14:paraId="1AA788E6" w14:textId="77777777" w:rsidTr="002F2109">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149B08A6" w14:textId="77777777" w:rsidR="00CF59EF" w:rsidRDefault="000B5D37">
            <w:pPr>
              <w:spacing w:line="260" w:lineRule="atLeast"/>
              <w:rPr>
                <w:rFonts w:eastAsia="Calibri"/>
                <w:b/>
                <w:lang w:eastAsia="en-US"/>
              </w:rPr>
            </w:pPr>
            <w:r>
              <w:rPr>
                <w:rFonts w:eastAsia="Calibri"/>
                <w:b/>
                <w:lang w:eastAsia="en-US"/>
              </w:rPr>
              <w:lastRenderedPageBreak/>
              <w:t>Description of Scenario 11</w:t>
            </w:r>
          </w:p>
        </w:tc>
      </w:tr>
      <w:tr w:rsidR="00CF59EF" w14:paraId="11844012" w14:textId="77777777" w:rsidTr="002F2109">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3B99B3" w14:textId="77777777" w:rsidR="00CF59EF" w:rsidRDefault="00FC4617" w:rsidP="002738FF">
            <w:pPr>
              <w:spacing w:line="260" w:lineRule="atLeast"/>
              <w:jc w:val="both"/>
              <w:rPr>
                <w:rFonts w:eastAsia="Calibri"/>
                <w:lang w:eastAsia="en-US"/>
              </w:rPr>
            </w:pPr>
            <w:r>
              <w:rPr>
                <w:rFonts w:eastAsia="Calibri"/>
                <w:lang w:eastAsia="en-US"/>
              </w:rPr>
              <w:t>The general public including a toddler and</w:t>
            </w:r>
            <w:r w:rsidR="000B5D37">
              <w:rPr>
                <w:rFonts w:eastAsia="Calibri"/>
                <w:lang w:eastAsia="en-US"/>
              </w:rPr>
              <w:t xml:space="preserve"> </w:t>
            </w:r>
            <w:r w:rsidR="002738FF">
              <w:rPr>
                <w:rFonts w:eastAsia="Calibri"/>
                <w:lang w:eastAsia="en-US"/>
              </w:rPr>
              <w:t xml:space="preserve">an infant (worst case) </w:t>
            </w:r>
            <w:r w:rsidR="000B5D37">
              <w:rPr>
                <w:rFonts w:eastAsia="Calibri"/>
                <w:lang w:eastAsia="en-US"/>
              </w:rPr>
              <w:t xml:space="preserve">is exposed to residues of sodium benzoate in laundered clothes via contact with skin by wearing a pullover. The weight fraction transferred from the fabric to the skin is considered to be 1%.  </w:t>
            </w:r>
          </w:p>
        </w:tc>
      </w:tr>
      <w:tr w:rsidR="00CF59EF" w14:paraId="7F7A3615" w14:textId="77777777" w:rsidTr="002F2109">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9AB66D"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553CCD"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0A7011" w14:textId="77777777" w:rsidR="00CF59EF" w:rsidRDefault="000B5D37">
            <w:pPr>
              <w:spacing w:line="260" w:lineRule="atLeast"/>
              <w:rPr>
                <w:rFonts w:eastAsia="Calibri"/>
                <w:lang w:eastAsia="en-US"/>
              </w:rPr>
            </w:pPr>
            <w:r>
              <w:rPr>
                <w:rFonts w:eastAsia="Calibri"/>
                <w:lang w:eastAsia="en-US"/>
              </w:rPr>
              <w:t>Value</w:t>
            </w:r>
          </w:p>
        </w:tc>
      </w:tr>
      <w:tr w:rsidR="002F2109" w14:paraId="15DB82D0" w14:textId="77777777" w:rsidTr="002F2109">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79B1C7" w14:textId="77777777" w:rsidR="002F2109" w:rsidRDefault="002F2109">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D35E" w14:textId="77777777" w:rsidR="002F2109" w:rsidRDefault="002F2109">
            <w:pPr>
              <w:spacing w:line="260" w:lineRule="atLeast"/>
              <w:rPr>
                <w:rFonts w:eastAsia="Calibri"/>
                <w:lang w:eastAsia="en-US"/>
              </w:rPr>
            </w:pPr>
            <w:r>
              <w:rPr>
                <w:rFonts w:eastAsia="Calibri"/>
                <w:lang w:eastAsia="en-US"/>
              </w:rPr>
              <w:t xml:space="preserve">leachable fraction  (w/w, expressed as benzoic acid),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AAA035" w14:textId="77777777" w:rsidR="002F2109" w:rsidRDefault="002F2109" w:rsidP="000C7149">
            <w:pPr>
              <w:spacing w:line="260" w:lineRule="atLeast"/>
              <w:rPr>
                <w:rFonts w:eastAsia="Calibri"/>
                <w:lang w:eastAsia="en-US"/>
              </w:rPr>
            </w:pPr>
          </w:p>
          <w:p w14:paraId="65D0C9D3" w14:textId="77777777" w:rsidR="002F2109" w:rsidRDefault="002F2109">
            <w:pPr>
              <w:spacing w:line="260" w:lineRule="atLeast"/>
              <w:rPr>
                <w:rFonts w:eastAsia="Calibri"/>
                <w:lang w:eastAsia="en-US"/>
              </w:rPr>
            </w:pPr>
            <w:r>
              <w:rPr>
                <w:rFonts w:eastAsia="Calibri"/>
                <w:lang w:eastAsia="en-US"/>
              </w:rPr>
              <w:t>0.00575%</w:t>
            </w:r>
          </w:p>
        </w:tc>
      </w:tr>
      <w:tr w:rsidR="00CF59EF" w14:paraId="5D5F2FC3" w14:textId="77777777" w:rsidTr="002F2109">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363344"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59790B" w14:textId="77777777" w:rsidR="00CF59EF" w:rsidRDefault="000B5D37">
            <w:pPr>
              <w:spacing w:line="260" w:lineRule="atLeast"/>
              <w:rPr>
                <w:rFonts w:eastAsia="Calibri"/>
                <w:lang w:eastAsia="en-US"/>
              </w:rPr>
            </w:pPr>
            <w:r>
              <w:rPr>
                <w:lang w:val="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855D74" w14:textId="77777777" w:rsidR="00CF59EF" w:rsidRDefault="000B5D37">
            <w:pPr>
              <w:spacing w:line="260" w:lineRule="atLeast"/>
              <w:rPr>
                <w:rFonts w:eastAsia="Calibri"/>
                <w:lang w:eastAsia="en-US"/>
              </w:rPr>
            </w:pPr>
            <w:r>
              <w:rPr>
                <w:lang w:val="en-US"/>
              </w:rPr>
              <w:t>75%</w:t>
            </w:r>
          </w:p>
        </w:tc>
      </w:tr>
      <w:tr w:rsidR="00CF59EF" w14:paraId="30A292C4" w14:textId="77777777" w:rsidTr="002F2109">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B83929"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75B442" w14:textId="77777777" w:rsidR="00CF59EF" w:rsidRDefault="000B5D37" w:rsidP="00FC4617">
            <w:pPr>
              <w:spacing w:line="260" w:lineRule="atLeast"/>
              <w:rPr>
                <w:rFonts w:eastAsia="Calibri"/>
                <w:lang w:eastAsia="en-US"/>
              </w:rPr>
            </w:pPr>
            <w:r>
              <w:rPr>
                <w:lang w:val="en-US"/>
              </w:rPr>
              <w:t xml:space="preserve">Body weight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91240F" w14:textId="77777777" w:rsidR="00FC4617" w:rsidRDefault="00FC4617" w:rsidP="002738FF">
            <w:pPr>
              <w:spacing w:line="260" w:lineRule="atLeast"/>
              <w:rPr>
                <w:lang w:val="en-US"/>
              </w:rPr>
            </w:pPr>
          </w:p>
          <w:p w14:paraId="0A215CB9" w14:textId="77777777" w:rsidR="00FC4617" w:rsidRDefault="00FC4617" w:rsidP="002738FF">
            <w:pPr>
              <w:spacing w:line="260" w:lineRule="atLeast"/>
              <w:rPr>
                <w:lang w:val="en-US"/>
              </w:rPr>
            </w:pPr>
            <w:r>
              <w:rPr>
                <w:lang w:val="en-US"/>
              </w:rPr>
              <w:t>10 kg (toddler)</w:t>
            </w:r>
          </w:p>
          <w:p w14:paraId="3CEECFB1" w14:textId="77777777" w:rsidR="00CF59EF" w:rsidRDefault="002738FF" w:rsidP="002738FF">
            <w:pPr>
              <w:spacing w:line="260" w:lineRule="atLeast"/>
              <w:rPr>
                <w:rFonts w:eastAsia="Calibri"/>
                <w:lang w:eastAsia="en-US"/>
              </w:rPr>
            </w:pPr>
            <w:r>
              <w:rPr>
                <w:lang w:val="en-US"/>
              </w:rPr>
              <w:t>8</w:t>
            </w:r>
            <w:r w:rsidR="000B5D37">
              <w:rPr>
                <w:lang w:val="en-US"/>
              </w:rPr>
              <w:t xml:space="preserve"> kg</w:t>
            </w:r>
            <w:r w:rsidR="00FC4617">
              <w:rPr>
                <w:lang w:val="en-US"/>
              </w:rPr>
              <w:t xml:space="preserve"> (infant)</w:t>
            </w:r>
          </w:p>
        </w:tc>
      </w:tr>
    </w:tbl>
    <w:p w14:paraId="67E53E65" w14:textId="77777777" w:rsidR="00CF59EF" w:rsidRDefault="00CF59EF">
      <w:pPr>
        <w:spacing w:line="260" w:lineRule="atLeast"/>
        <w:rPr>
          <w:rFonts w:eastAsia="Calibri"/>
          <w:lang w:eastAsia="en-US"/>
        </w:rPr>
      </w:pPr>
    </w:p>
    <w:p w14:paraId="609796AF" w14:textId="77777777" w:rsidR="00CF59EF" w:rsidRDefault="000B5D37">
      <w:pPr>
        <w:spacing w:line="260" w:lineRule="atLeast"/>
        <w:rPr>
          <w:rFonts w:eastAsia="Calibri"/>
          <w:b/>
          <w:lang w:eastAsia="en-US"/>
        </w:rPr>
      </w:pPr>
      <w:r>
        <w:rPr>
          <w:rFonts w:eastAsia="Calibri"/>
          <w:b/>
          <w:lang w:eastAsia="en-US"/>
        </w:rPr>
        <w:t>Calculations for Scenario 11</w:t>
      </w:r>
    </w:p>
    <w:p w14:paraId="327CAA4A" w14:textId="77777777" w:rsidR="006B6453" w:rsidRDefault="000B5D37" w:rsidP="003352F3">
      <w:pPr>
        <w:spacing w:line="260" w:lineRule="atLeast"/>
        <w:rPr>
          <w:rFonts w:eastAsia="Calibri"/>
          <w:iCs/>
          <w:lang w:eastAsia="en-US"/>
        </w:rPr>
      </w:pPr>
      <w:r>
        <w:rPr>
          <w:rFonts w:eastAsia="Calibri"/>
          <w:lang w:eastAsia="en-US"/>
        </w:rPr>
        <w:t xml:space="preserve">After washing, residues of sodium benzoate from  laundry detergents may remain on clothing and migrate from textile to skin, resulting in dermal exposure. </w:t>
      </w:r>
      <w:r>
        <w:rPr>
          <w:rFonts w:eastAsia="Calibri"/>
          <w:iCs/>
          <w:lang w:eastAsia="en-US"/>
        </w:rPr>
        <w:t xml:space="preserve">As the vapour pressure of sodium benzoate is extremely low, its evaporation from fabric is considered to be negligible; thus no respiratory exposure is expected. In order to calculate the exposure of a child, the approach based on HERA Guidance Document Methodology (2005) was used in accordance with the HEEG Recommendation no. 6 on methods and models to assess exposure to biocidal products in different product types, v.2.  The default exposure scenario of </w:t>
      </w:r>
      <w:proofErr w:type="spellStart"/>
      <w:r>
        <w:rPr>
          <w:rFonts w:eastAsia="Calibri"/>
          <w:iCs/>
          <w:lang w:eastAsia="en-US"/>
        </w:rPr>
        <w:t>ConsExpo</w:t>
      </w:r>
      <w:proofErr w:type="spellEnd"/>
      <w:r>
        <w:rPr>
          <w:rFonts w:eastAsia="Calibri"/>
          <w:iCs/>
          <w:lang w:eastAsia="en-US"/>
        </w:rPr>
        <w:t xml:space="preserve"> 4.1 is considered to be not representative for a child due to smaller clothes weight (i.e. it is considered unlikely that a </w:t>
      </w:r>
      <w:r w:rsidR="006B6453">
        <w:rPr>
          <w:rFonts w:eastAsia="Calibri"/>
          <w:iCs/>
          <w:lang w:eastAsia="en-US"/>
        </w:rPr>
        <w:t xml:space="preserve">toddler of 10 kg or an </w:t>
      </w:r>
      <w:r w:rsidR="002738FF">
        <w:rPr>
          <w:rFonts w:eastAsia="Calibri"/>
          <w:iCs/>
          <w:lang w:eastAsia="en-US"/>
        </w:rPr>
        <w:t>infant of 8</w:t>
      </w:r>
      <w:r>
        <w:rPr>
          <w:rFonts w:eastAsia="Calibri"/>
          <w:iCs/>
          <w:lang w:eastAsia="en-US"/>
        </w:rPr>
        <w:t xml:space="preserve"> kg shall wear clothes weighing 1 kg). </w:t>
      </w:r>
      <w:r w:rsidR="003352F3">
        <w:rPr>
          <w:rFonts w:eastAsia="Calibri"/>
          <w:iCs/>
          <w:lang w:eastAsia="en-US"/>
        </w:rPr>
        <w:t>As the total body surface area (including the head) for an adult</w:t>
      </w:r>
      <w:r w:rsidR="006B6453">
        <w:rPr>
          <w:rFonts w:eastAsia="Calibri"/>
          <w:iCs/>
          <w:lang w:eastAsia="en-US"/>
        </w:rPr>
        <w:t>, toddler and infant</w:t>
      </w:r>
      <w:r w:rsidR="003352F3">
        <w:rPr>
          <w:rFonts w:eastAsia="Calibri"/>
          <w:iCs/>
          <w:lang w:eastAsia="en-US"/>
        </w:rPr>
        <w:t xml:space="preserve"> is </w:t>
      </w:r>
      <w:r w:rsidR="005B6320">
        <w:rPr>
          <w:rFonts w:eastAsia="Calibri"/>
          <w:iCs/>
          <w:lang w:eastAsia="en-US"/>
        </w:rPr>
        <w:t>16600 </w:t>
      </w:r>
      <w:r w:rsidR="003352F3">
        <w:rPr>
          <w:rFonts w:eastAsia="Calibri"/>
          <w:iCs/>
          <w:lang w:eastAsia="en-US"/>
        </w:rPr>
        <w:t xml:space="preserve">cm2 </w:t>
      </w:r>
      <w:r w:rsidR="006B6453">
        <w:rPr>
          <w:rFonts w:eastAsia="Calibri"/>
          <w:iCs/>
          <w:lang w:eastAsia="en-US"/>
        </w:rPr>
        <w:t xml:space="preserve">4800 cm2 and </w:t>
      </w:r>
      <w:r w:rsidR="002738FF">
        <w:rPr>
          <w:rFonts w:eastAsia="Calibri"/>
          <w:iCs/>
          <w:lang w:eastAsia="en-US"/>
        </w:rPr>
        <w:t>4100</w:t>
      </w:r>
      <w:r w:rsidR="003352F3">
        <w:rPr>
          <w:rFonts w:eastAsia="Calibri"/>
          <w:iCs/>
          <w:lang w:eastAsia="en-US"/>
        </w:rPr>
        <w:t xml:space="preserve"> cm2</w:t>
      </w:r>
      <w:r w:rsidR="006B6453">
        <w:rPr>
          <w:rFonts w:eastAsia="Calibri"/>
          <w:iCs/>
          <w:lang w:eastAsia="en-US"/>
        </w:rPr>
        <w:t xml:space="preserve">, respectively, </w:t>
      </w:r>
      <w:r w:rsidR="003352F3">
        <w:rPr>
          <w:rFonts w:eastAsia="Calibri"/>
          <w:iCs/>
          <w:lang w:eastAsia="en-US"/>
        </w:rPr>
        <w:t xml:space="preserve"> the expected clothes weight for </w:t>
      </w:r>
      <w:r w:rsidR="006B6453">
        <w:rPr>
          <w:rFonts w:eastAsia="Calibri"/>
          <w:iCs/>
          <w:lang w:eastAsia="en-US"/>
        </w:rPr>
        <w:t xml:space="preserve">a toddler and </w:t>
      </w:r>
      <w:r w:rsidR="002738FF">
        <w:rPr>
          <w:rFonts w:eastAsia="Calibri"/>
          <w:iCs/>
          <w:lang w:eastAsia="en-US"/>
        </w:rPr>
        <w:t>an infant</w:t>
      </w:r>
      <w:r w:rsidR="003352F3">
        <w:rPr>
          <w:rFonts w:eastAsia="Calibri"/>
          <w:iCs/>
          <w:lang w:eastAsia="en-US"/>
        </w:rPr>
        <w:t xml:space="preserve"> will be </w:t>
      </w:r>
      <w:r w:rsidR="006B6453">
        <w:rPr>
          <w:rFonts w:eastAsia="Calibri"/>
          <w:iCs/>
          <w:lang w:eastAsia="en-US"/>
        </w:rPr>
        <w:t xml:space="preserve">289 g and </w:t>
      </w:r>
      <w:r w:rsidR="002738FF">
        <w:rPr>
          <w:rFonts w:eastAsia="Calibri"/>
          <w:iCs/>
          <w:lang w:eastAsia="en-US"/>
        </w:rPr>
        <w:t xml:space="preserve">247 </w:t>
      </w:r>
      <w:r w:rsidR="003352F3">
        <w:rPr>
          <w:rFonts w:eastAsia="Calibri"/>
          <w:iCs/>
          <w:lang w:eastAsia="en-US"/>
        </w:rPr>
        <w:t>g</w:t>
      </w:r>
      <w:r w:rsidR="006B6453">
        <w:rPr>
          <w:rFonts w:eastAsia="Calibri"/>
          <w:iCs/>
          <w:lang w:eastAsia="en-US"/>
        </w:rPr>
        <w:t>, respectively</w:t>
      </w:r>
      <w:r w:rsidR="003352F3">
        <w:rPr>
          <w:rFonts w:eastAsia="Calibri"/>
          <w:iCs/>
          <w:lang w:eastAsia="en-US"/>
        </w:rPr>
        <w:t xml:space="preserve">. </w:t>
      </w:r>
      <w:r w:rsidR="003352F3">
        <w:rPr>
          <w:rFonts w:eastAsia="Calibri"/>
          <w:lang w:eastAsia="en-US"/>
        </w:rPr>
        <w:t xml:space="preserve">It is assumed that 115 g liquid laundry detergent is used per 5 kg laundry, and that 20% of the total product amount is remaining on the fabric (defaults </w:t>
      </w:r>
      <w:proofErr w:type="spellStart"/>
      <w:r w:rsidR="003352F3">
        <w:rPr>
          <w:rFonts w:eastAsia="Calibri"/>
          <w:lang w:eastAsia="en-US"/>
        </w:rPr>
        <w:t>ConsExpo</w:t>
      </w:r>
      <w:proofErr w:type="spellEnd"/>
      <w:r w:rsidR="003352F3">
        <w:rPr>
          <w:rFonts w:eastAsia="Calibri"/>
          <w:lang w:eastAsia="en-US"/>
        </w:rPr>
        <w:t xml:space="preserve"> 4.1). Based on this, the amount of liquid detergent that can adhere to the fabric, is calculated as (115/5 x 20%) = 4.6 g detergent/kg fabric. Because there are no data for the amount of detergent residues leaching from the textile, it is assumed that 50% is leachable (default </w:t>
      </w:r>
      <w:proofErr w:type="spellStart"/>
      <w:r w:rsidR="005B6320">
        <w:rPr>
          <w:rFonts w:eastAsia="Calibri"/>
          <w:lang w:eastAsia="en-US"/>
        </w:rPr>
        <w:t>ConsExpo</w:t>
      </w:r>
      <w:proofErr w:type="spellEnd"/>
      <w:r w:rsidR="005B6320">
        <w:rPr>
          <w:rFonts w:eastAsia="Calibri"/>
          <w:lang w:eastAsia="en-US"/>
        </w:rPr>
        <w:t> </w:t>
      </w:r>
      <w:r w:rsidR="003352F3">
        <w:rPr>
          <w:rFonts w:eastAsia="Calibri"/>
          <w:lang w:eastAsia="en-US"/>
        </w:rPr>
        <w:t xml:space="preserve">4.1). Respectively, the leachable weight fraction of sodium benzoate is calculated as (4.6 g/1000 g fabric x 2.5% x 50% =) 0.00575%. </w:t>
      </w:r>
      <w:r w:rsidR="007F386F" w:rsidRPr="007F386F">
        <w:rPr>
          <w:rFonts w:eastAsia="Calibri"/>
          <w:lang w:eastAsia="en-US"/>
        </w:rPr>
        <w:t xml:space="preserve">The amount of </w:t>
      </w:r>
      <w:r w:rsidR="007F386F">
        <w:rPr>
          <w:rFonts w:eastAsia="Calibri"/>
          <w:lang w:eastAsia="en-US"/>
        </w:rPr>
        <w:t xml:space="preserve">clothes that is worn by </w:t>
      </w:r>
      <w:r w:rsidR="006B6453">
        <w:rPr>
          <w:rFonts w:eastAsia="Calibri"/>
          <w:lang w:eastAsia="en-US"/>
        </w:rPr>
        <w:t xml:space="preserve">a toddler and </w:t>
      </w:r>
      <w:r w:rsidR="002738FF">
        <w:rPr>
          <w:rFonts w:eastAsia="Calibri"/>
          <w:lang w:eastAsia="en-US"/>
        </w:rPr>
        <w:t xml:space="preserve">an infant </w:t>
      </w:r>
      <w:r w:rsidR="007F386F">
        <w:rPr>
          <w:rFonts w:eastAsia="Calibri"/>
          <w:lang w:eastAsia="en-US"/>
        </w:rPr>
        <w:t xml:space="preserve">is set to be </w:t>
      </w:r>
      <w:r w:rsidR="006B6453">
        <w:rPr>
          <w:rFonts w:eastAsia="Calibri"/>
          <w:lang w:eastAsia="en-US"/>
        </w:rPr>
        <w:t xml:space="preserve">289 and </w:t>
      </w:r>
      <w:r w:rsidR="002738FF">
        <w:rPr>
          <w:rFonts w:eastAsia="Calibri"/>
          <w:lang w:eastAsia="en-US"/>
        </w:rPr>
        <w:t>247 g</w:t>
      </w:r>
      <w:r w:rsidR="007F386F">
        <w:rPr>
          <w:rFonts w:eastAsia="Calibri"/>
          <w:lang w:eastAsia="en-US"/>
        </w:rPr>
        <w:t xml:space="preserve">. </w:t>
      </w:r>
      <w:r w:rsidR="007F386F" w:rsidRPr="007F386F" w:rsidDel="003352F3">
        <w:rPr>
          <w:rFonts w:eastAsia="Calibri"/>
          <w:lang w:eastAsia="en-US"/>
        </w:rPr>
        <w:t xml:space="preserve"> </w:t>
      </w:r>
      <w:r w:rsidR="003352F3">
        <w:rPr>
          <w:rFonts w:eastAsia="Calibri"/>
          <w:iCs/>
          <w:lang w:eastAsia="en-US"/>
        </w:rPr>
        <w:t>Dermal absorption of sodium benzoate was set at 75% in accordance with the EFSA Guidance on dermal absorption (2012). The internal systemic exposure to sodium benz</w:t>
      </w:r>
      <w:r w:rsidR="00647482">
        <w:rPr>
          <w:rFonts w:eastAsia="Calibri"/>
          <w:iCs/>
          <w:lang w:eastAsia="en-US"/>
        </w:rPr>
        <w:t xml:space="preserve">oate is equal to </w:t>
      </w:r>
    </w:p>
    <w:p w14:paraId="739DB63E" w14:textId="77777777" w:rsidR="006B6453" w:rsidRDefault="006B6453" w:rsidP="003352F3">
      <w:pPr>
        <w:spacing w:line="260" w:lineRule="atLeast"/>
        <w:rPr>
          <w:rFonts w:eastAsia="Calibri"/>
          <w:iCs/>
          <w:lang w:eastAsia="en-US"/>
        </w:rPr>
      </w:pPr>
      <w:r>
        <w:rPr>
          <w:rFonts w:eastAsia="Calibri"/>
          <w:iCs/>
          <w:lang w:eastAsia="en-US"/>
        </w:rPr>
        <w:t xml:space="preserve">Toddler (0.00575%x289 gx75%)= 12.5 mg/day (1.24 mg/kg </w:t>
      </w:r>
      <w:proofErr w:type="spellStart"/>
      <w:r>
        <w:rPr>
          <w:rFonts w:eastAsia="Calibri"/>
          <w:iCs/>
          <w:lang w:eastAsia="en-US"/>
        </w:rPr>
        <w:t>bw</w:t>
      </w:r>
      <w:proofErr w:type="spellEnd"/>
      <w:r>
        <w:rPr>
          <w:rFonts w:eastAsia="Calibri"/>
          <w:iCs/>
          <w:lang w:eastAsia="en-US"/>
        </w:rPr>
        <w:t>/day).</w:t>
      </w:r>
    </w:p>
    <w:p w14:paraId="04654ECE" w14:textId="77777777" w:rsidR="003352F3" w:rsidRDefault="006B6453" w:rsidP="003352F3">
      <w:pPr>
        <w:spacing w:line="260" w:lineRule="atLeast"/>
        <w:rPr>
          <w:rFonts w:eastAsia="Calibri"/>
          <w:iCs/>
          <w:lang w:eastAsia="en-US"/>
        </w:rPr>
      </w:pPr>
      <w:r>
        <w:rPr>
          <w:rFonts w:eastAsia="Calibri"/>
          <w:iCs/>
          <w:lang w:eastAsia="en-US"/>
        </w:rPr>
        <w:t xml:space="preserve">Infant  </w:t>
      </w:r>
      <w:r w:rsidR="00B43817">
        <w:rPr>
          <w:rFonts w:eastAsia="Calibri"/>
          <w:iCs/>
          <w:lang w:eastAsia="en-US"/>
        </w:rPr>
        <w:t>(0.00575%x</w:t>
      </w:r>
      <w:r w:rsidR="002738FF">
        <w:rPr>
          <w:rFonts w:eastAsia="Calibri"/>
          <w:iCs/>
          <w:lang w:eastAsia="en-US"/>
        </w:rPr>
        <w:t>247</w:t>
      </w:r>
      <w:r>
        <w:rPr>
          <w:rFonts w:eastAsia="Calibri"/>
          <w:iCs/>
          <w:lang w:eastAsia="en-US"/>
        </w:rPr>
        <w:t xml:space="preserve"> </w:t>
      </w:r>
      <w:r w:rsidR="00B43817">
        <w:rPr>
          <w:rFonts w:eastAsia="Calibri"/>
          <w:iCs/>
          <w:lang w:eastAsia="en-US"/>
        </w:rPr>
        <w:t xml:space="preserve">gx75%)= </w:t>
      </w:r>
      <w:r w:rsidR="002738FF">
        <w:rPr>
          <w:rFonts w:eastAsia="Calibri"/>
          <w:iCs/>
          <w:lang w:eastAsia="en-US"/>
        </w:rPr>
        <w:t xml:space="preserve">10.7 </w:t>
      </w:r>
      <w:r w:rsidR="003352F3">
        <w:rPr>
          <w:rFonts w:eastAsia="Calibri"/>
          <w:iCs/>
          <w:lang w:eastAsia="en-US"/>
        </w:rPr>
        <w:t>mg/day</w:t>
      </w:r>
      <w:r w:rsidR="007F386F">
        <w:rPr>
          <w:rFonts w:eastAsia="Calibri"/>
          <w:iCs/>
          <w:lang w:eastAsia="en-US"/>
        </w:rPr>
        <w:t xml:space="preserve"> </w:t>
      </w:r>
      <w:r w:rsidR="00647482">
        <w:rPr>
          <w:rFonts w:eastAsia="Calibri"/>
          <w:iCs/>
          <w:lang w:eastAsia="en-US"/>
        </w:rPr>
        <w:t>(</w:t>
      </w:r>
      <w:r w:rsidR="002738FF">
        <w:rPr>
          <w:rFonts w:eastAsia="Calibri"/>
          <w:iCs/>
          <w:lang w:eastAsia="en-US"/>
        </w:rPr>
        <w:t>1.33</w:t>
      </w:r>
      <w:r w:rsidR="00647482">
        <w:rPr>
          <w:rFonts w:eastAsia="Calibri"/>
          <w:iCs/>
          <w:lang w:eastAsia="en-US"/>
        </w:rPr>
        <w:t xml:space="preserve"> mg/kg </w:t>
      </w:r>
      <w:proofErr w:type="spellStart"/>
      <w:r w:rsidR="00647482">
        <w:rPr>
          <w:rFonts w:eastAsia="Calibri"/>
          <w:iCs/>
          <w:lang w:eastAsia="en-US"/>
        </w:rPr>
        <w:t>bw</w:t>
      </w:r>
      <w:proofErr w:type="spellEnd"/>
      <w:r w:rsidR="00647482">
        <w:rPr>
          <w:rFonts w:eastAsia="Calibri"/>
          <w:iCs/>
          <w:lang w:eastAsia="en-US"/>
        </w:rPr>
        <w:t>/day)</w:t>
      </w:r>
      <w:r w:rsidR="003352F3">
        <w:rPr>
          <w:rFonts w:eastAsia="Calibri"/>
          <w:iCs/>
          <w:lang w:eastAsia="en-US"/>
        </w:rPr>
        <w:t xml:space="preserve">. </w:t>
      </w:r>
    </w:p>
    <w:p w14:paraId="3D8CE610" w14:textId="77777777" w:rsidR="003352F3" w:rsidRDefault="003352F3" w:rsidP="003352F3">
      <w:pPr>
        <w:spacing w:line="260" w:lineRule="atLeast"/>
        <w:rPr>
          <w:rFonts w:eastAsia="Calibri"/>
          <w:iCs/>
          <w:lang w:eastAsia="en-US"/>
        </w:rPr>
      </w:pPr>
    </w:p>
    <w:p w14:paraId="6162DA9D" w14:textId="77777777" w:rsidR="00CF59EF" w:rsidRDefault="000B5D37">
      <w:pPr>
        <w:rPr>
          <w:rFonts w:eastAsia="Calibri"/>
          <w:i/>
          <w:sz w:val="22"/>
          <w:szCs w:val="22"/>
          <w:u w:val="single"/>
          <w:lang w:eastAsia="en-US"/>
        </w:rPr>
      </w:pPr>
      <w:r>
        <w:rPr>
          <w:rFonts w:eastAsia="Calibri"/>
          <w:i/>
          <w:sz w:val="22"/>
          <w:szCs w:val="22"/>
          <w:u w:val="single"/>
          <w:lang w:eastAsia="en-US"/>
        </w:rPr>
        <w:t>Scenario 12: Exposure of general public to residues of the product on washed dishware - adults</w:t>
      </w:r>
    </w:p>
    <w:p w14:paraId="28699AF8" w14:textId="77777777"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3"/>
        <w:gridCol w:w="4295"/>
        <w:gridCol w:w="3063"/>
      </w:tblGrid>
      <w:tr w:rsidR="00CF59EF" w14:paraId="7CFCEAF0" w14:textId="77777777" w:rsidTr="000F1F3D">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766ADF14" w14:textId="77777777" w:rsidR="00CF59EF" w:rsidRDefault="000B5D37">
            <w:pPr>
              <w:spacing w:line="260" w:lineRule="atLeast"/>
              <w:rPr>
                <w:rFonts w:eastAsia="Calibri"/>
                <w:b/>
                <w:lang w:eastAsia="en-US"/>
              </w:rPr>
            </w:pPr>
            <w:r>
              <w:rPr>
                <w:rFonts w:eastAsia="Calibri"/>
                <w:b/>
                <w:lang w:eastAsia="en-US"/>
              </w:rPr>
              <w:lastRenderedPageBreak/>
              <w:t>Description of Scenario 12</w:t>
            </w:r>
          </w:p>
        </w:tc>
      </w:tr>
      <w:tr w:rsidR="00CF59EF" w14:paraId="307B135F" w14:textId="77777777" w:rsidTr="000F1F3D">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CDEFF4" w14:textId="77777777" w:rsidR="00CF59EF" w:rsidRDefault="000B5D37">
            <w:pPr>
              <w:spacing w:line="260" w:lineRule="atLeast"/>
              <w:jc w:val="both"/>
              <w:rPr>
                <w:rFonts w:eastAsia="Calibri"/>
                <w:lang w:eastAsia="en-US"/>
              </w:rPr>
            </w:pPr>
            <w:r>
              <w:rPr>
                <w:rFonts w:eastAsia="Calibri"/>
                <w:lang w:eastAsia="en-US"/>
              </w:rPr>
              <w:t>An adult consumer is exposed to residues of sodium benzoate on washed dinnerware.</w:t>
            </w:r>
            <w:r w:rsidR="00E00EEA">
              <w:rPr>
                <w:rFonts w:eastAsia="Calibri"/>
                <w:lang w:eastAsia="en-US"/>
              </w:rPr>
              <w:t xml:space="preserve"> The exposure is calculated in accordance with </w:t>
            </w:r>
            <w:r w:rsidR="00E00EEA" w:rsidRPr="00E00EEA">
              <w:rPr>
                <w:rFonts w:eastAsia="Calibri"/>
                <w:i/>
                <w:lang w:eastAsia="en-US"/>
              </w:rPr>
              <w:t>Guidance on the Biocidal Products Regulation Volume III Human Health - Assessment &amp; Evaluation (Parts B+C) Version 4.0 December 2017 - GUIDANCE ON ESTIMATING DIETARY RISK FROM TRANSFER OF BIOCIDAL ACTIVE SUBSTANCES INTO FOODS – NON-PROFESSIONAL USES</w:t>
            </w:r>
            <w:r w:rsidR="00E00EEA">
              <w:rPr>
                <w:rFonts w:eastAsia="Calibri"/>
                <w:lang w:eastAsia="en-US"/>
              </w:rPr>
              <w:t>.</w:t>
            </w:r>
            <w:r>
              <w:rPr>
                <w:rFonts w:eastAsia="Calibri"/>
                <w:lang w:eastAsia="en-US"/>
              </w:rPr>
              <w:t xml:space="preserve">  </w:t>
            </w:r>
          </w:p>
        </w:tc>
      </w:tr>
      <w:tr w:rsidR="00CF59EF" w14:paraId="32780F9D" w14:textId="77777777" w:rsidTr="000F1F3D">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A2F208"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2C2AE6" w14:textId="77777777"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76751F" w14:textId="77777777" w:rsidR="00CF59EF" w:rsidRDefault="000B5D37">
            <w:pPr>
              <w:spacing w:line="260" w:lineRule="atLeast"/>
              <w:rPr>
                <w:rFonts w:eastAsia="Calibri"/>
                <w:lang w:eastAsia="en-US"/>
              </w:rPr>
            </w:pPr>
            <w:r>
              <w:rPr>
                <w:rFonts w:eastAsia="Calibri"/>
                <w:lang w:eastAsia="en-US"/>
              </w:rPr>
              <w:t>Value</w:t>
            </w:r>
          </w:p>
        </w:tc>
      </w:tr>
      <w:tr w:rsidR="00CF59EF" w14:paraId="78A4FF4E" w14:textId="77777777" w:rsidTr="000F1F3D">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FBBC59"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7572A8" w14:textId="77777777" w:rsidR="00CF59EF" w:rsidRDefault="000B5D37">
            <w:pPr>
              <w:spacing w:line="260" w:lineRule="atLeast"/>
              <w:rPr>
                <w:rFonts w:eastAsia="Calibri"/>
                <w:lang w:eastAsia="en-US"/>
              </w:rPr>
            </w:pPr>
            <w:r>
              <w:rPr>
                <w:rFonts w:eastAsia="Calibri"/>
                <w:lang w:eastAsia="en-US"/>
              </w:rPr>
              <w:t>Maximum percentage of sodium benzoate in dishwashing detergent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BC6616" w14:textId="77777777" w:rsidR="00CF59EF" w:rsidRDefault="000B5D37">
            <w:pPr>
              <w:spacing w:line="260" w:lineRule="atLeast"/>
              <w:rPr>
                <w:rFonts w:eastAsia="Calibri"/>
                <w:lang w:eastAsia="en-US"/>
              </w:rPr>
            </w:pPr>
            <w:r>
              <w:rPr>
                <w:rFonts w:eastAsia="Calibri"/>
                <w:lang w:eastAsia="en-US"/>
              </w:rPr>
              <w:t>2.5%</w:t>
            </w:r>
          </w:p>
        </w:tc>
      </w:tr>
      <w:tr w:rsidR="00CF59EF" w14:paraId="3C09DEB0" w14:textId="77777777"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E33EB5"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E98AD5" w14:textId="77777777" w:rsidR="00CF59EF" w:rsidRDefault="000B5D37">
            <w:pPr>
              <w:spacing w:line="260" w:lineRule="atLeast"/>
              <w:rPr>
                <w:rFonts w:eastAsia="Calibri"/>
                <w:lang w:eastAsia="en-US"/>
              </w:rPr>
            </w:pPr>
            <w:r>
              <w:rPr>
                <w:rFonts w:eastAsia="Calibri"/>
                <w:lang w:eastAsia="en-US"/>
              </w:rPr>
              <w:t xml:space="preserve">Concentration of detergent in dish wash solution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7FE890" w14:textId="77777777" w:rsidR="00CF59EF" w:rsidRDefault="000B5D37">
            <w:pPr>
              <w:spacing w:line="260" w:lineRule="atLeast"/>
              <w:rPr>
                <w:rFonts w:eastAsia="Calibri"/>
                <w:lang w:eastAsia="en-US"/>
              </w:rPr>
            </w:pPr>
            <w:r>
              <w:rPr>
                <w:rFonts w:eastAsia="Calibri"/>
                <w:lang w:eastAsia="en-US"/>
              </w:rPr>
              <w:t>1400 mg/L</w:t>
            </w:r>
          </w:p>
        </w:tc>
      </w:tr>
      <w:tr w:rsidR="00CF59EF" w14:paraId="0ED2D82B" w14:textId="77777777"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B0E1DF"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D62358" w14:textId="77777777" w:rsidR="00CF59EF" w:rsidRDefault="000B5D37">
            <w:pPr>
              <w:spacing w:line="260" w:lineRule="atLeast"/>
              <w:rPr>
                <w:rFonts w:eastAsia="Calibri"/>
                <w:lang w:eastAsia="en-US"/>
              </w:rPr>
            </w:pPr>
            <w:r>
              <w:rPr>
                <w:rFonts w:eastAsia="Calibri"/>
                <w:lang w:eastAsia="en-US"/>
              </w:rPr>
              <w:t xml:space="preserve">Amount of water left on dishes after rinsing (dilution factor for rinsing: 1/10 to be justified)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16C010" w14:textId="77777777" w:rsidR="00CF59EF" w:rsidRDefault="000B5D37">
            <w:pPr>
              <w:spacing w:line="260" w:lineRule="atLeast"/>
              <w:rPr>
                <w:rFonts w:eastAsia="Calibri"/>
                <w:lang w:eastAsia="en-US"/>
              </w:rPr>
            </w:pPr>
            <w:r>
              <w:rPr>
                <w:rFonts w:eastAsia="Calibri"/>
                <w:lang w:eastAsia="en-US"/>
              </w:rPr>
              <w:t>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p>
        </w:tc>
      </w:tr>
      <w:tr w:rsidR="00CF59EF" w14:paraId="6AB7DB93" w14:textId="77777777"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BB9F7F"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E2959E" w14:textId="77777777" w:rsidR="00CF59EF" w:rsidRDefault="000B5D37">
            <w:pPr>
              <w:spacing w:line="260" w:lineRule="atLeast"/>
              <w:rPr>
                <w:rFonts w:eastAsia="Calibri"/>
                <w:lang w:eastAsia="en-US"/>
              </w:rPr>
            </w:pPr>
            <w:r>
              <w:t xml:space="preserve">Area of dishes in daily contact with food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929701" w14:textId="77777777" w:rsidR="00CF59EF" w:rsidRDefault="000B5D37">
            <w:pPr>
              <w:spacing w:line="260" w:lineRule="atLeast"/>
              <w:rPr>
                <w:rFonts w:eastAsia="Calibri"/>
                <w:lang w:eastAsia="en-US"/>
              </w:rPr>
            </w:pPr>
            <w:r>
              <w:t>5400 cm</w:t>
            </w:r>
            <w:r>
              <w:rPr>
                <w:vertAlign w:val="superscript"/>
              </w:rPr>
              <w:t>2</w:t>
            </w:r>
            <w:r>
              <w:t>/d</w:t>
            </w:r>
          </w:p>
        </w:tc>
      </w:tr>
      <w:tr w:rsidR="00CF59EF" w14:paraId="3B4464FF" w14:textId="77777777"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6F8AEB"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311E29" w14:textId="77777777" w:rsidR="00CF59EF" w:rsidRDefault="000B5D37">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5EB4A1" w14:textId="77777777" w:rsidR="00CF59EF" w:rsidRDefault="000B5D37">
            <w:pPr>
              <w:spacing w:line="260" w:lineRule="atLeast"/>
              <w:rPr>
                <w:rFonts w:eastAsia="Calibri"/>
                <w:lang w:eastAsia="en-US"/>
              </w:rPr>
            </w:pPr>
            <w:r>
              <w:rPr>
                <w:rFonts w:eastAsia="Calibri"/>
                <w:lang w:eastAsia="en-US"/>
              </w:rPr>
              <w:t>100%</w:t>
            </w:r>
          </w:p>
        </w:tc>
      </w:tr>
      <w:tr w:rsidR="00CF59EF" w14:paraId="2783FD1E" w14:textId="77777777"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E362AD"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4D7119" w14:textId="77777777" w:rsidR="00CF59EF" w:rsidRDefault="000B5D37">
            <w:pPr>
              <w:spacing w:line="260" w:lineRule="atLeast"/>
              <w:rPr>
                <w:rFonts w:eastAsia="Calibri"/>
                <w:lang w:eastAsia="en-US"/>
              </w:rPr>
            </w:pPr>
            <w:r>
              <w:rPr>
                <w:rFonts w:eastAsia="Calibri"/>
                <w:lang w:eastAsia="en-US"/>
              </w:rPr>
              <w:t>Body weight adult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F8954A" w14:textId="77777777" w:rsidR="00CF59EF" w:rsidRDefault="000B5D37">
            <w:pPr>
              <w:spacing w:line="260" w:lineRule="atLeast"/>
              <w:rPr>
                <w:rFonts w:eastAsia="Calibri"/>
                <w:lang w:eastAsia="en-US"/>
              </w:rPr>
            </w:pPr>
            <w:r>
              <w:rPr>
                <w:rFonts w:eastAsia="Calibri"/>
                <w:lang w:eastAsia="en-US"/>
              </w:rPr>
              <w:t>60 kg</w:t>
            </w:r>
          </w:p>
        </w:tc>
      </w:tr>
    </w:tbl>
    <w:p w14:paraId="0D923B72" w14:textId="77777777" w:rsidR="00CF59EF" w:rsidRDefault="000B5D37">
      <w:pPr>
        <w:spacing w:line="260" w:lineRule="atLeast"/>
        <w:rPr>
          <w:rFonts w:eastAsia="Calibri"/>
          <w:b/>
          <w:lang w:eastAsia="en-US"/>
        </w:rPr>
      </w:pPr>
      <w:r>
        <w:rPr>
          <w:rFonts w:eastAsia="Calibri"/>
          <w:b/>
          <w:lang w:eastAsia="en-US"/>
        </w:rPr>
        <w:t>Calculations for Scenario 12</w:t>
      </w:r>
    </w:p>
    <w:p w14:paraId="3DFF4C32" w14:textId="77777777" w:rsidR="00CF59EF" w:rsidRDefault="000B5D37">
      <w:pPr>
        <w:spacing w:line="260" w:lineRule="atLeast"/>
        <w:rPr>
          <w:rFonts w:eastAsia="Calibri"/>
          <w:iCs/>
          <w:lang w:eastAsia="en-US"/>
        </w:rPr>
      </w:pPr>
      <w:r>
        <w:rPr>
          <w:rFonts w:eastAsia="Calibri"/>
          <w:lang w:eastAsia="en-US"/>
        </w:rPr>
        <w:t xml:space="preserve">Oral exposure of adult consumers can occur because of residues on washed dinnerware. </w:t>
      </w:r>
      <w:r>
        <w:rPr>
          <w:rFonts w:eastAsia="Calibri"/>
          <w:iCs/>
          <w:lang w:eastAsia="en-US"/>
        </w:rPr>
        <w:t xml:space="preserve">As the vapour pressure of sodium benzoate is extremely low, its evaporation from the residues on dinnerware is considered to be negligible; thus no respiratory exposure is expected. Dermal exposure is considered to be negligible in comparison to oral exposure. </w:t>
      </w:r>
      <w:r w:rsidRPr="009E1039">
        <w:rPr>
          <w:rFonts w:eastAsia="Calibri"/>
          <w:iCs/>
          <w:lang w:eastAsia="en-US"/>
        </w:rPr>
        <w:t>The calculations are performed  based on “</w:t>
      </w:r>
      <w:r w:rsidRPr="009E1039">
        <w:rPr>
          <w:bCs/>
        </w:rPr>
        <w:t xml:space="preserve">Guidance on Estimating Dietary Risk from Transfer of Biocidal Active Substances into Foods – Non-professional Uses” as included in the </w:t>
      </w:r>
      <w:r w:rsidRPr="009E1039">
        <w:t>Guidance on BPR Vol III Part B+C, version 4.0 (Dec 2017)</w:t>
      </w:r>
      <w:r w:rsidRPr="009E1039">
        <w:rPr>
          <w:rFonts w:eastAsia="Calibri"/>
          <w:iCs/>
          <w:lang w:eastAsia="en-US"/>
        </w:rPr>
        <w:t xml:space="preserve">. The value for amount of </w:t>
      </w:r>
      <w:r>
        <w:rPr>
          <w:rFonts w:eastAsia="Calibri"/>
          <w:iCs/>
          <w:lang w:eastAsia="en-US"/>
        </w:rPr>
        <w:t>water left on dishes is 5.5 x 10</w:t>
      </w:r>
      <w:r>
        <w:rPr>
          <w:rFonts w:eastAsia="Calibri"/>
          <w:iCs/>
          <w:vertAlign w:val="superscript"/>
          <w:lang w:eastAsia="en-US"/>
        </w:rPr>
        <w:t xml:space="preserve">-5 </w:t>
      </w:r>
      <w:r>
        <w:rPr>
          <w:rFonts w:eastAsia="Calibri"/>
          <w:iCs/>
          <w:lang w:eastAsia="en-US"/>
        </w:rPr>
        <w:t>mL/cm</w:t>
      </w:r>
      <w:r>
        <w:rPr>
          <w:rFonts w:eastAsia="Calibri"/>
          <w:iCs/>
          <w:vertAlign w:val="superscript"/>
          <w:lang w:eastAsia="en-US"/>
        </w:rPr>
        <w:t>2</w:t>
      </w:r>
      <w:r>
        <w:rPr>
          <w:rFonts w:eastAsia="Calibri"/>
          <w:iCs/>
          <w:lang w:eastAsia="en-US"/>
        </w:rPr>
        <w:t xml:space="preserve"> and the value for the area of dishes in daily contact with food is 5400 </w:t>
      </w:r>
      <w:r>
        <w:rPr>
          <w:rFonts w:eastAsia="Calibri"/>
          <w:lang w:eastAsia="en-US"/>
        </w:rPr>
        <w:t>cm</w:t>
      </w:r>
      <w:r>
        <w:rPr>
          <w:rFonts w:eastAsia="Calibri"/>
          <w:vertAlign w:val="superscript"/>
          <w:lang w:eastAsia="en-US"/>
        </w:rPr>
        <w:t>2</w:t>
      </w:r>
      <w:r>
        <w:rPr>
          <w:rFonts w:eastAsia="Calibri"/>
          <w:lang w:eastAsia="en-US"/>
        </w:rPr>
        <w:t xml:space="preserve"> (HERA guidance document Methodology, February 2005). It is considered that 7 g of dishwashing liquid are used per 5 L of water, thus the resulting dishwashing liquid concentration in water is 1.4 g/L. Subsequently, the total amount of ingested dishwashing liquid is calculated as (5.5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r>
        <w:rPr>
          <w:rFonts w:eastAsia="Calibri"/>
          <w:lang w:eastAsia="en-US"/>
        </w:rPr>
        <w:t xml:space="preserve"> x 5400 cm</w:t>
      </w:r>
      <w:r>
        <w:rPr>
          <w:rFonts w:eastAsia="Calibri"/>
          <w:vertAlign w:val="superscript"/>
          <w:lang w:eastAsia="en-US"/>
        </w:rPr>
        <w:t>2</w:t>
      </w:r>
      <w:r>
        <w:rPr>
          <w:rFonts w:eastAsia="Calibri"/>
          <w:lang w:eastAsia="en-US"/>
        </w:rPr>
        <w:t xml:space="preserve"> x 1.4 mg/mL =) 0.4158 mg. The maximal concentration of sodium benzoate in the dishwashing liquid is 2.5% (expressed as benzoic acid). Oral absorption of 100% is assumed for sodium benzoate. The body weight for an adult is set to 60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w:t>
      </w:r>
      <w:r>
        <w:rPr>
          <w:rFonts w:eastAsia="Calibri"/>
          <w:lang w:eastAsia="en-US"/>
        </w:rPr>
        <w:t xml:space="preserve">The resulting exposure estimates are presented in Annex 3.2. </w:t>
      </w:r>
      <w:r>
        <w:rPr>
          <w:rFonts w:eastAsia="Calibri"/>
          <w:iCs/>
          <w:lang w:eastAsia="en-US"/>
        </w:rPr>
        <w:t xml:space="preserve">The internal systemic exposure to sodium benzoate is equal to 0.000175 mg/kg </w:t>
      </w:r>
      <w:proofErr w:type="spellStart"/>
      <w:r>
        <w:rPr>
          <w:rFonts w:eastAsia="Calibri"/>
          <w:iCs/>
          <w:lang w:eastAsia="en-US"/>
        </w:rPr>
        <w:t>bw</w:t>
      </w:r>
      <w:proofErr w:type="spellEnd"/>
      <w:r>
        <w:rPr>
          <w:rFonts w:eastAsia="Calibri"/>
          <w:iCs/>
          <w:lang w:eastAsia="en-US"/>
        </w:rPr>
        <w:t xml:space="preserve">/day. </w:t>
      </w:r>
    </w:p>
    <w:p w14:paraId="061AF475" w14:textId="77777777" w:rsidR="00CF59EF" w:rsidRDefault="00CF59EF">
      <w:pPr>
        <w:spacing w:line="260" w:lineRule="atLeast"/>
        <w:rPr>
          <w:rFonts w:eastAsia="Calibri"/>
          <w:iCs/>
          <w:lang w:eastAsia="en-US"/>
        </w:rPr>
      </w:pPr>
    </w:p>
    <w:p w14:paraId="5320DB42" w14:textId="77777777" w:rsidR="00CF59EF" w:rsidRPr="00C13EAF" w:rsidRDefault="00C13EAF">
      <w:pPr>
        <w:spacing w:line="260" w:lineRule="atLeast"/>
        <w:rPr>
          <w:rFonts w:eastAsia="Calibri"/>
          <w:b/>
          <w:iCs/>
          <w:lang w:eastAsia="en-US"/>
        </w:rPr>
      </w:pPr>
      <w:r w:rsidRPr="00C13EAF">
        <w:rPr>
          <w:rFonts w:eastAsia="Calibri"/>
          <w:b/>
          <w:iCs/>
          <w:lang w:eastAsia="en-US"/>
        </w:rPr>
        <w:t>Other information</w:t>
      </w:r>
      <w:r>
        <w:rPr>
          <w:rFonts w:eastAsia="Calibri"/>
          <w:b/>
          <w:iCs/>
          <w:lang w:eastAsia="en-US"/>
        </w:rPr>
        <w:t xml:space="preserve"> for scenario 12</w:t>
      </w:r>
    </w:p>
    <w:p w14:paraId="2E885A01" w14:textId="77777777" w:rsidR="00C13EAF" w:rsidRPr="00C13EAF" w:rsidRDefault="00C13EAF" w:rsidP="00C13EAF">
      <w:pPr>
        <w:spacing w:line="260" w:lineRule="atLeast"/>
        <w:rPr>
          <w:rFonts w:eastAsia="Calibri"/>
          <w:iCs/>
          <w:lang w:eastAsia="en-US"/>
        </w:rPr>
      </w:pPr>
      <w:r w:rsidRPr="00C13EAF">
        <w:rPr>
          <w:rFonts w:eastAsia="Calibri"/>
          <w:iCs/>
          <w:lang w:eastAsia="en-US"/>
        </w:rPr>
        <w:t xml:space="preserve">The guidance on estimating dietary risk from transfer of biocidal active substances into foods – non-professional uses, establishes that </w:t>
      </w:r>
      <w:r>
        <w:rPr>
          <w:rFonts w:eastAsia="Calibri"/>
          <w:iCs/>
          <w:lang w:eastAsia="en-US"/>
        </w:rPr>
        <w:t>the following points should be addressed</w:t>
      </w:r>
      <w:r w:rsidRPr="00C13EAF">
        <w:rPr>
          <w:rFonts w:eastAsia="Calibri"/>
          <w:iCs/>
          <w:lang w:eastAsia="en-US"/>
        </w:rPr>
        <w:t xml:space="preserve">: </w:t>
      </w:r>
    </w:p>
    <w:p w14:paraId="3FF1A8D6" w14:textId="77777777" w:rsidR="00C13EAF" w:rsidRPr="00C13EAF" w:rsidRDefault="00C13EAF" w:rsidP="00C13EAF">
      <w:pPr>
        <w:spacing w:line="260" w:lineRule="atLeast"/>
        <w:rPr>
          <w:rFonts w:eastAsia="Calibri"/>
          <w:iCs/>
          <w:lang w:eastAsia="en-US"/>
        </w:rPr>
      </w:pPr>
      <w:r w:rsidRPr="00C13EAF">
        <w:rPr>
          <w:rFonts w:eastAsia="Calibri"/>
          <w:iCs/>
          <w:lang w:eastAsia="en-US"/>
        </w:rPr>
        <w:t>- The possibility of degradation of sodium benzoate due t</w:t>
      </w:r>
      <w:r>
        <w:rPr>
          <w:rFonts w:eastAsia="Calibri"/>
          <w:iCs/>
          <w:lang w:eastAsia="en-US"/>
        </w:rPr>
        <w:t>o the elevated temperatures (70°</w:t>
      </w:r>
      <w:r w:rsidRPr="00C13EAF">
        <w:rPr>
          <w:rFonts w:eastAsia="Calibri"/>
          <w:iCs/>
          <w:lang w:eastAsia="en-US"/>
        </w:rPr>
        <w:t>C) and changes in pH (7 and 11) throughout a machine wash cycle of approximately 215 minutes.</w:t>
      </w:r>
    </w:p>
    <w:p w14:paraId="34E6F6BB" w14:textId="77777777" w:rsidR="00C13EAF" w:rsidRDefault="00C13EAF" w:rsidP="00C13EAF">
      <w:pPr>
        <w:spacing w:line="260" w:lineRule="atLeast"/>
        <w:rPr>
          <w:rFonts w:eastAsia="Calibri"/>
          <w:iCs/>
          <w:lang w:eastAsia="en-US"/>
        </w:rPr>
      </w:pPr>
      <w:r w:rsidRPr="00C13EAF">
        <w:rPr>
          <w:rFonts w:eastAsia="Calibri"/>
          <w:iCs/>
          <w:lang w:eastAsia="en-US"/>
        </w:rPr>
        <w:t>- The potential degradation compounds (if any), its concentration and its toxicity.</w:t>
      </w:r>
    </w:p>
    <w:p w14:paraId="1B94275F" w14:textId="77777777" w:rsidR="00C13EAF" w:rsidRDefault="00C13EAF" w:rsidP="00C13EAF">
      <w:pPr>
        <w:spacing w:line="260" w:lineRule="atLeast"/>
        <w:rPr>
          <w:rFonts w:eastAsia="Calibri"/>
          <w:iCs/>
          <w:lang w:eastAsia="en-US"/>
        </w:rPr>
      </w:pPr>
    </w:p>
    <w:p w14:paraId="1DB72D46" w14:textId="77777777" w:rsidR="00C13EAF" w:rsidRDefault="00C13EAF" w:rsidP="00C13EAF">
      <w:pPr>
        <w:spacing w:line="260" w:lineRule="atLeast"/>
        <w:rPr>
          <w:rFonts w:eastAsia="Calibri"/>
          <w:iCs/>
          <w:lang w:eastAsia="en-US"/>
        </w:rPr>
      </w:pPr>
      <w:r w:rsidRPr="00C13EAF">
        <w:rPr>
          <w:rFonts w:eastAsia="Calibri"/>
          <w:iCs/>
          <w:lang w:eastAsia="en-US"/>
        </w:rPr>
        <w:t>The active substance is not prone to hydrolysis (PAR p.18). Therefore no exposure to degradation product of sodium benzoate is expected.</w:t>
      </w:r>
    </w:p>
    <w:p w14:paraId="17508E07" w14:textId="77777777" w:rsidR="000C501E" w:rsidRDefault="000C501E" w:rsidP="00C13EAF">
      <w:pPr>
        <w:spacing w:line="260" w:lineRule="atLeast"/>
        <w:rPr>
          <w:rFonts w:eastAsia="Calibri"/>
          <w:iCs/>
          <w:lang w:eastAsia="en-US"/>
        </w:rPr>
      </w:pPr>
    </w:p>
    <w:p w14:paraId="086573D8" w14:textId="77777777" w:rsidR="00C13EAF" w:rsidRDefault="000C501E">
      <w:pPr>
        <w:spacing w:line="260" w:lineRule="atLeast"/>
        <w:rPr>
          <w:rFonts w:eastAsia="Calibri"/>
          <w:iCs/>
          <w:lang w:eastAsia="en-US"/>
        </w:rPr>
      </w:pPr>
      <w:r w:rsidRPr="000C501E">
        <w:rPr>
          <w:rFonts w:eastAsia="Calibri"/>
          <w:iCs/>
          <w:noProof/>
          <w:lang w:val="nl-NL" w:eastAsia="nl-NL"/>
        </w:rPr>
        <mc:AlternateContent>
          <mc:Choice Requires="wps">
            <w:drawing>
              <wp:inline distT="0" distB="0" distL="0" distR="0" wp14:anchorId="5131BD16" wp14:editId="7C2FE71B">
                <wp:extent cx="5791200" cy="1403985"/>
                <wp:effectExtent l="0" t="0" r="19050" b="25400"/>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chemeClr val="bg1">
                            <a:lumMod val="85000"/>
                          </a:schemeClr>
                        </a:solidFill>
                        <a:ln w="9525">
                          <a:solidFill>
                            <a:srgbClr val="000000"/>
                          </a:solidFill>
                          <a:miter lim="800000"/>
                          <a:headEnd/>
                          <a:tailEnd/>
                        </a:ln>
                      </wps:spPr>
                      <wps:txbx>
                        <w:txbxContent>
                          <w:p w14:paraId="6D893EE9" w14:textId="77777777" w:rsidR="00980D14" w:rsidRPr="000C501E" w:rsidRDefault="00980D14">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rinisng</w:t>
                            </w:r>
                            <w:r w:rsidRPr="000C501E">
                              <w:t>, amount of water left on dishes is 5.5 x 10</w:t>
                            </w:r>
                            <w:r w:rsidRPr="00683599">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0.00175 mg/kg bw/day.</w:t>
                            </w:r>
                          </w:p>
                        </w:txbxContent>
                      </wps:txbx>
                      <wps:bodyPr rot="0" vert="horz" wrap="square" lIns="91440" tIns="45720" rIns="91440" bIns="45720" anchor="t" anchorCtr="0">
                        <a:spAutoFit/>
                      </wps:bodyPr>
                    </wps:wsp>
                  </a:graphicData>
                </a:graphic>
              </wp:inline>
            </w:drawing>
          </mc:Choice>
          <mc:Fallback>
            <w:pict>
              <v:shape w14:anchorId="5131BD16" id="_x0000_s1030" type="#_x0000_t202" style="width:45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" fillcolor="#d8d8d8 [2732]">
                <v:textbox style="mso-fit-shape-to-text:t">
                  <w:txbxContent>
                    <w:p w14:paraId="6D893EE9" w14:textId="77777777" w:rsidR="00980D14" w:rsidRPr="000C501E" w:rsidRDefault="00980D14">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rinisng</w:t>
                      </w:r>
                      <w:r w:rsidRPr="000C501E">
                        <w:t>, amount of water left on dishes is 5.5 x 10</w:t>
                      </w:r>
                      <w:r w:rsidRPr="00683599">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0.00175 mg/kg bw/day.</w:t>
                      </w:r>
                    </w:p>
                  </w:txbxContent>
                </v:textbox>
                <w10:anchorlock/>
              </v:shape>
            </w:pict>
          </mc:Fallback>
        </mc:AlternateContent>
      </w:r>
    </w:p>
    <w:p w14:paraId="3719DC04" w14:textId="77777777" w:rsidR="000C501E" w:rsidRDefault="000C501E">
      <w:pPr>
        <w:spacing w:line="260" w:lineRule="atLeast"/>
        <w:rPr>
          <w:rFonts w:eastAsia="Calibri"/>
          <w:iCs/>
          <w:lang w:eastAsia="en-US"/>
        </w:rPr>
      </w:pPr>
    </w:p>
    <w:p w14:paraId="761A6848" w14:textId="77777777" w:rsidR="000C501E" w:rsidRDefault="000C501E">
      <w:pPr>
        <w:spacing w:line="260" w:lineRule="atLeast"/>
        <w:rPr>
          <w:rFonts w:eastAsia="Calibri"/>
          <w:iCs/>
          <w:lang w:eastAsia="en-US"/>
        </w:rPr>
      </w:pPr>
    </w:p>
    <w:p w14:paraId="6E1F8265" w14:textId="77777777" w:rsidR="00CF59EF" w:rsidRDefault="000B5D37">
      <w:pPr>
        <w:rPr>
          <w:rFonts w:eastAsia="Calibri"/>
          <w:i/>
          <w:sz w:val="22"/>
          <w:szCs w:val="22"/>
          <w:u w:val="single"/>
          <w:lang w:eastAsia="en-US"/>
        </w:rPr>
      </w:pPr>
      <w:r>
        <w:rPr>
          <w:rFonts w:eastAsia="Calibri"/>
          <w:i/>
          <w:sz w:val="22"/>
          <w:szCs w:val="22"/>
          <w:u w:val="single"/>
          <w:lang w:eastAsia="en-US"/>
        </w:rPr>
        <w:t>Scenario 13: Exposure of general public to residues of the product on washed dishware - toddler</w:t>
      </w:r>
    </w:p>
    <w:p w14:paraId="49DA60CA" w14:textId="77777777"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3"/>
        <w:gridCol w:w="4295"/>
        <w:gridCol w:w="3063"/>
      </w:tblGrid>
      <w:tr w:rsidR="00CF59EF" w14:paraId="3707EFDC" w14:textId="77777777" w:rsidTr="002D52F5">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59C00836" w14:textId="77777777" w:rsidR="00CF59EF" w:rsidRDefault="000B5D37">
            <w:pPr>
              <w:spacing w:line="260" w:lineRule="atLeast"/>
              <w:rPr>
                <w:rFonts w:eastAsia="Calibri"/>
                <w:b/>
                <w:lang w:eastAsia="en-US"/>
              </w:rPr>
            </w:pPr>
            <w:r>
              <w:rPr>
                <w:rFonts w:eastAsia="Calibri"/>
                <w:b/>
                <w:lang w:eastAsia="en-US"/>
              </w:rPr>
              <w:t>Description of Scenario 13</w:t>
            </w:r>
          </w:p>
        </w:tc>
      </w:tr>
      <w:tr w:rsidR="00CF59EF" w14:paraId="2A12580C" w14:textId="77777777" w:rsidTr="002D52F5">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89A882" w14:textId="77777777" w:rsidR="00CF59EF" w:rsidRDefault="000B5D37">
            <w:pPr>
              <w:spacing w:line="260" w:lineRule="atLeast"/>
              <w:jc w:val="both"/>
              <w:rPr>
                <w:rFonts w:eastAsia="Calibri"/>
                <w:lang w:eastAsia="en-US"/>
              </w:rPr>
            </w:pPr>
            <w:r>
              <w:rPr>
                <w:rFonts w:eastAsia="Calibri"/>
                <w:lang w:eastAsia="en-US"/>
              </w:rPr>
              <w:t xml:space="preserve">A toddler is exposed to residues of sodium benzoate on washed dinnerware.  </w:t>
            </w:r>
            <w:r w:rsidR="00E00EEA">
              <w:rPr>
                <w:rFonts w:eastAsia="Calibri"/>
                <w:lang w:eastAsia="en-US"/>
              </w:rPr>
              <w:t xml:space="preserve">The exposure is calculated in accordance with </w:t>
            </w:r>
            <w:r w:rsidR="00E00EEA" w:rsidRPr="00E00EEA">
              <w:rPr>
                <w:rFonts w:eastAsia="Calibri"/>
                <w:i/>
                <w:lang w:eastAsia="en-US"/>
              </w:rPr>
              <w:t>Guidance on the Biocidal Products Regulation Volume III Human Health - Assessment &amp; Evaluation (Parts B+C) Version 4.0 December 2017 - GUIDANCE ON ESTIMATING DIETARY RISK FROM TRANSFER OF BIOCIDAL ACTIVE SUBSTANCES INTO FOODS – NON-PROFESSIONAL USES</w:t>
            </w:r>
            <w:r w:rsidR="00E00EEA">
              <w:rPr>
                <w:rFonts w:eastAsia="Calibri"/>
                <w:lang w:eastAsia="en-US"/>
              </w:rPr>
              <w:t xml:space="preserve">.  </w:t>
            </w:r>
          </w:p>
        </w:tc>
      </w:tr>
      <w:tr w:rsidR="00CF59EF" w14:paraId="634BC2DA" w14:textId="77777777" w:rsidTr="002D52F5">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C88F84" w14:textId="77777777"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36758C" w14:textId="77777777"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485759" w14:textId="77777777" w:rsidR="00CF59EF" w:rsidRDefault="000B5D37">
            <w:pPr>
              <w:spacing w:line="260" w:lineRule="atLeast"/>
              <w:rPr>
                <w:rFonts w:eastAsia="Calibri"/>
                <w:lang w:eastAsia="en-US"/>
              </w:rPr>
            </w:pPr>
            <w:r>
              <w:rPr>
                <w:rFonts w:eastAsia="Calibri"/>
                <w:lang w:eastAsia="en-US"/>
              </w:rPr>
              <w:t>Value</w:t>
            </w:r>
          </w:p>
        </w:tc>
      </w:tr>
      <w:tr w:rsidR="002D52F5" w14:paraId="6BBC3F66" w14:textId="77777777" w:rsidTr="002D52F5">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7F1702"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A2A48E" w14:textId="77777777" w:rsidR="002D52F5" w:rsidRDefault="002D52F5">
            <w:pPr>
              <w:spacing w:line="260" w:lineRule="atLeast"/>
              <w:rPr>
                <w:rFonts w:eastAsia="Calibri"/>
                <w:lang w:eastAsia="en-US"/>
              </w:rPr>
            </w:pPr>
            <w:r>
              <w:rPr>
                <w:rFonts w:eastAsia="Calibri"/>
                <w:lang w:eastAsia="en-US"/>
              </w:rPr>
              <w:t>Maximum percentage of sodium benzoate in dishwashing detergent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8FCD1B" w14:textId="77777777" w:rsidR="002D52F5" w:rsidRDefault="002D52F5">
            <w:pPr>
              <w:spacing w:line="260" w:lineRule="atLeast"/>
              <w:rPr>
                <w:rFonts w:eastAsia="Calibri"/>
                <w:lang w:eastAsia="en-US"/>
              </w:rPr>
            </w:pPr>
            <w:r>
              <w:rPr>
                <w:rFonts w:eastAsia="Calibri"/>
                <w:lang w:eastAsia="en-US"/>
              </w:rPr>
              <w:t>2.5%</w:t>
            </w:r>
          </w:p>
        </w:tc>
      </w:tr>
      <w:tr w:rsidR="002D52F5" w14:paraId="3939F73E" w14:textId="77777777"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D92DE8"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C2EEE1" w14:textId="77777777" w:rsidR="002D52F5" w:rsidRDefault="002D52F5">
            <w:pPr>
              <w:spacing w:line="260" w:lineRule="atLeast"/>
              <w:rPr>
                <w:rFonts w:eastAsia="Calibri"/>
                <w:lang w:eastAsia="en-US"/>
              </w:rPr>
            </w:pPr>
            <w:r>
              <w:rPr>
                <w:rFonts w:eastAsia="Calibri"/>
                <w:lang w:eastAsia="en-US"/>
              </w:rPr>
              <w:t xml:space="preserve">Concentration of detergent in dish wash solution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3002A" w14:textId="77777777" w:rsidR="002D52F5" w:rsidRDefault="002D52F5">
            <w:pPr>
              <w:spacing w:line="260" w:lineRule="atLeast"/>
              <w:rPr>
                <w:rFonts w:eastAsia="Calibri"/>
                <w:lang w:eastAsia="en-US"/>
              </w:rPr>
            </w:pPr>
            <w:r>
              <w:rPr>
                <w:rFonts w:eastAsia="Calibri"/>
                <w:lang w:eastAsia="en-US"/>
              </w:rPr>
              <w:t>1400 mg/L</w:t>
            </w:r>
          </w:p>
        </w:tc>
      </w:tr>
      <w:tr w:rsidR="002D52F5" w14:paraId="6CD9A927" w14:textId="77777777"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CED0E6"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30FD6B" w14:textId="77777777" w:rsidR="002D52F5" w:rsidRDefault="002D52F5">
            <w:pPr>
              <w:spacing w:line="260" w:lineRule="atLeast"/>
              <w:rPr>
                <w:rFonts w:eastAsia="Calibri"/>
                <w:lang w:eastAsia="en-US"/>
              </w:rPr>
            </w:pPr>
            <w:r>
              <w:rPr>
                <w:rFonts w:eastAsia="Calibri"/>
                <w:lang w:eastAsia="en-US"/>
              </w:rPr>
              <w:t xml:space="preserve">Amount of water left on dishes after rinsing (dilution factor for rinsing: 1/10 to be justified)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76C112" w14:textId="77777777" w:rsidR="002D52F5" w:rsidRDefault="002D52F5">
            <w:pPr>
              <w:spacing w:line="260" w:lineRule="atLeast"/>
              <w:rPr>
                <w:rFonts w:eastAsia="Calibri"/>
                <w:lang w:eastAsia="en-US"/>
              </w:rPr>
            </w:pPr>
            <w:r>
              <w:rPr>
                <w:rFonts w:eastAsia="Calibri"/>
                <w:lang w:eastAsia="en-US"/>
              </w:rPr>
              <w:t>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p>
        </w:tc>
      </w:tr>
      <w:tr w:rsidR="002D52F5" w14:paraId="6034619E" w14:textId="77777777"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3B204C"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2E96F" w14:textId="77777777" w:rsidR="002D52F5" w:rsidRDefault="002D52F5">
            <w:pPr>
              <w:spacing w:line="260" w:lineRule="atLeast"/>
              <w:rPr>
                <w:rFonts w:eastAsia="Calibri"/>
                <w:lang w:eastAsia="en-US"/>
              </w:rPr>
            </w:pPr>
            <w:r>
              <w:t xml:space="preserve">Area of dishes in daily contact with food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D241D6" w14:textId="77777777" w:rsidR="002D52F5" w:rsidRDefault="002D52F5">
            <w:pPr>
              <w:spacing w:line="260" w:lineRule="atLeast"/>
              <w:rPr>
                <w:rFonts w:eastAsia="Calibri"/>
                <w:lang w:eastAsia="en-US"/>
              </w:rPr>
            </w:pPr>
            <w:r>
              <w:t>5400 cm</w:t>
            </w:r>
            <w:r>
              <w:rPr>
                <w:vertAlign w:val="superscript"/>
              </w:rPr>
              <w:t>2</w:t>
            </w:r>
            <w:r>
              <w:t>/d</w:t>
            </w:r>
          </w:p>
        </w:tc>
      </w:tr>
      <w:tr w:rsidR="002D52F5" w14:paraId="2C964B77" w14:textId="77777777"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91D10D"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0DB3B7" w14:textId="77777777" w:rsidR="002D52F5" w:rsidRDefault="002D52F5">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B46513" w14:textId="77777777" w:rsidR="002D52F5" w:rsidRDefault="002D52F5">
            <w:pPr>
              <w:spacing w:line="260" w:lineRule="atLeast"/>
              <w:rPr>
                <w:rFonts w:eastAsia="Calibri"/>
                <w:lang w:eastAsia="en-US"/>
              </w:rPr>
            </w:pPr>
            <w:r>
              <w:rPr>
                <w:rFonts w:eastAsia="Calibri"/>
                <w:lang w:eastAsia="en-US"/>
              </w:rPr>
              <w:t>100%</w:t>
            </w:r>
          </w:p>
        </w:tc>
      </w:tr>
      <w:tr w:rsidR="002D52F5" w14:paraId="4C6C9B43" w14:textId="77777777"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D9EB99" w14:textId="77777777"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301E7A" w14:textId="77777777" w:rsidR="002D52F5" w:rsidRDefault="002D52F5">
            <w:pPr>
              <w:spacing w:line="260" w:lineRule="atLeast"/>
              <w:rPr>
                <w:rFonts w:eastAsia="Calibri"/>
                <w:lang w:eastAsia="en-US"/>
              </w:rPr>
            </w:pPr>
            <w:r>
              <w:rPr>
                <w:rFonts w:eastAsia="Calibri"/>
                <w:lang w:eastAsia="en-US"/>
              </w:rPr>
              <w:t>Body weight toddler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0E1C9E" w14:textId="77777777" w:rsidR="002D52F5" w:rsidRDefault="002D52F5">
            <w:pPr>
              <w:spacing w:line="260" w:lineRule="atLeast"/>
              <w:rPr>
                <w:rFonts w:eastAsia="Calibri"/>
                <w:lang w:eastAsia="en-US"/>
              </w:rPr>
            </w:pPr>
            <w:r>
              <w:rPr>
                <w:rFonts w:eastAsia="Calibri"/>
                <w:lang w:eastAsia="en-US"/>
              </w:rPr>
              <w:t>10 kg</w:t>
            </w:r>
          </w:p>
        </w:tc>
      </w:tr>
    </w:tbl>
    <w:p w14:paraId="7D8D2636" w14:textId="77777777" w:rsidR="00CF59EF" w:rsidRDefault="00CF59EF">
      <w:pPr>
        <w:spacing w:line="260" w:lineRule="atLeast"/>
        <w:rPr>
          <w:rFonts w:eastAsia="Calibri"/>
          <w:lang w:eastAsia="en-US"/>
        </w:rPr>
      </w:pPr>
    </w:p>
    <w:p w14:paraId="2AFFF3C2" w14:textId="77777777" w:rsidR="00CF59EF" w:rsidRDefault="000B5D37">
      <w:pPr>
        <w:spacing w:line="260" w:lineRule="atLeast"/>
        <w:rPr>
          <w:rFonts w:eastAsia="Calibri"/>
          <w:b/>
          <w:lang w:eastAsia="en-US"/>
        </w:rPr>
      </w:pPr>
      <w:r>
        <w:rPr>
          <w:rFonts w:eastAsia="Calibri"/>
          <w:b/>
          <w:lang w:eastAsia="en-US"/>
        </w:rPr>
        <w:t>Calculations for Scenario 13</w:t>
      </w:r>
    </w:p>
    <w:p w14:paraId="383722FB" w14:textId="77777777" w:rsidR="00CF59EF" w:rsidRDefault="000B5D37">
      <w:pPr>
        <w:spacing w:line="260" w:lineRule="atLeast"/>
        <w:rPr>
          <w:rFonts w:eastAsia="Calibri"/>
          <w:iCs/>
          <w:lang w:eastAsia="en-US"/>
        </w:rPr>
      </w:pPr>
      <w:r>
        <w:rPr>
          <w:rFonts w:eastAsia="Calibri"/>
          <w:lang w:eastAsia="en-US"/>
        </w:rPr>
        <w:t xml:space="preserve">Oral exposure of children can occur because of residues on washed dinnerware. The same default </w:t>
      </w:r>
      <w:r>
        <w:rPr>
          <w:rFonts w:eastAsia="Calibri"/>
          <w:iCs/>
          <w:lang w:eastAsia="en-US"/>
        </w:rPr>
        <w:t>exposure scenario from “Guidance on Estimating Dietary Risk from Transfer of Biocidal Active Substances into Foods – Non-professional Uses” as included in the Guidance on BPR Vol III Part B+C, version 4.0 (Dec 2017) as for adults was used to perform the calculations, but the result was corrected for the body weight of 10 kg for a toddler. As the vapour pressure of sodium benzoate is extremely low, its evaporation from the residues on dinnerware is considered to be negligible; thus no respiratory exposure is expected. Dermal exposure is considered to be negligible in comparison to oral exposure. T</w:t>
      </w:r>
      <w:r>
        <w:rPr>
          <w:rFonts w:eastAsia="Calibri"/>
          <w:lang w:eastAsia="en-US"/>
        </w:rPr>
        <w:t xml:space="preserve">he total amount of ingested dishwashing liquid is calculated to be 0.4158 mg, the maximal concentration of sodium benzoate in the dishwashing liquid is 2.5% (expressed as benzoic acid). Oral absorption of 100% is assumed for sodium benzoate. The body weight for a toddler is set to 10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The resulting exposure estimates are presented in Annex 3.2. The internal systemic exposure to sodium benzoate is equal to 0.00105 mg/kg </w:t>
      </w:r>
      <w:proofErr w:type="spellStart"/>
      <w:r>
        <w:rPr>
          <w:rFonts w:eastAsia="Calibri"/>
          <w:iCs/>
          <w:lang w:eastAsia="en-US"/>
        </w:rPr>
        <w:t>bw</w:t>
      </w:r>
      <w:proofErr w:type="spellEnd"/>
      <w:r>
        <w:rPr>
          <w:rFonts w:eastAsia="Calibri"/>
          <w:iCs/>
          <w:lang w:eastAsia="en-US"/>
        </w:rPr>
        <w:t xml:space="preserve">/day. </w:t>
      </w:r>
    </w:p>
    <w:p w14:paraId="3645D84B" w14:textId="77777777" w:rsidR="00C13EAF" w:rsidRDefault="00C13EAF">
      <w:pPr>
        <w:spacing w:line="260" w:lineRule="atLeast"/>
        <w:rPr>
          <w:rFonts w:eastAsia="Calibri"/>
          <w:iCs/>
          <w:lang w:eastAsia="en-US"/>
        </w:rPr>
      </w:pPr>
    </w:p>
    <w:p w14:paraId="3087784F" w14:textId="77777777" w:rsidR="00C13EAF" w:rsidRPr="00C13EAF" w:rsidRDefault="00C13EAF" w:rsidP="00C13EAF">
      <w:pPr>
        <w:spacing w:line="260" w:lineRule="atLeast"/>
        <w:rPr>
          <w:rFonts w:eastAsia="Calibri"/>
          <w:b/>
          <w:iCs/>
          <w:lang w:eastAsia="en-US"/>
        </w:rPr>
      </w:pPr>
      <w:r w:rsidRPr="00C13EAF">
        <w:rPr>
          <w:rFonts w:eastAsia="Calibri"/>
          <w:b/>
          <w:iCs/>
          <w:lang w:eastAsia="en-US"/>
        </w:rPr>
        <w:lastRenderedPageBreak/>
        <w:t>Other information</w:t>
      </w:r>
      <w:r>
        <w:rPr>
          <w:rFonts w:eastAsia="Calibri"/>
          <w:b/>
          <w:iCs/>
          <w:lang w:eastAsia="en-US"/>
        </w:rPr>
        <w:t xml:space="preserve"> for scenario 13</w:t>
      </w:r>
    </w:p>
    <w:p w14:paraId="581F37FA" w14:textId="77777777" w:rsidR="00C13EAF" w:rsidRPr="00C13EAF" w:rsidRDefault="00C13EAF" w:rsidP="00C13EAF">
      <w:pPr>
        <w:spacing w:line="260" w:lineRule="atLeast"/>
        <w:rPr>
          <w:rFonts w:eastAsia="Calibri"/>
          <w:iCs/>
          <w:lang w:eastAsia="en-US"/>
        </w:rPr>
      </w:pPr>
      <w:r w:rsidRPr="00C13EAF">
        <w:rPr>
          <w:rFonts w:eastAsia="Calibri"/>
          <w:iCs/>
          <w:lang w:eastAsia="en-US"/>
        </w:rPr>
        <w:t xml:space="preserve">The guidance on estimating dietary risk from transfer of biocidal active substances into foods – non-professional uses, establishes that </w:t>
      </w:r>
      <w:r>
        <w:rPr>
          <w:rFonts w:eastAsia="Calibri"/>
          <w:iCs/>
          <w:lang w:eastAsia="en-US"/>
        </w:rPr>
        <w:t>the following points should be addressed</w:t>
      </w:r>
      <w:r w:rsidRPr="00C13EAF">
        <w:rPr>
          <w:rFonts w:eastAsia="Calibri"/>
          <w:iCs/>
          <w:lang w:eastAsia="en-US"/>
        </w:rPr>
        <w:t xml:space="preserve">: </w:t>
      </w:r>
    </w:p>
    <w:p w14:paraId="40B36463" w14:textId="77777777" w:rsidR="00C13EAF" w:rsidRPr="00C13EAF" w:rsidRDefault="00C13EAF" w:rsidP="00C13EAF">
      <w:pPr>
        <w:spacing w:line="260" w:lineRule="atLeast"/>
        <w:rPr>
          <w:rFonts w:eastAsia="Calibri"/>
          <w:iCs/>
          <w:lang w:eastAsia="en-US"/>
        </w:rPr>
      </w:pPr>
      <w:r w:rsidRPr="00C13EAF">
        <w:rPr>
          <w:rFonts w:eastAsia="Calibri"/>
          <w:iCs/>
          <w:lang w:eastAsia="en-US"/>
        </w:rPr>
        <w:t>- The possibility of degradation of sodium benzoate due t</w:t>
      </w:r>
      <w:r>
        <w:rPr>
          <w:rFonts w:eastAsia="Calibri"/>
          <w:iCs/>
          <w:lang w:eastAsia="en-US"/>
        </w:rPr>
        <w:t>o the elevated temperatures (70°</w:t>
      </w:r>
      <w:r w:rsidRPr="00C13EAF">
        <w:rPr>
          <w:rFonts w:eastAsia="Calibri"/>
          <w:iCs/>
          <w:lang w:eastAsia="en-US"/>
        </w:rPr>
        <w:t>C) and changes in pH (7 and 11) throughout a machine wash cycle of approximately 215 minutes.</w:t>
      </w:r>
    </w:p>
    <w:p w14:paraId="3D1EF964" w14:textId="77777777" w:rsidR="00C13EAF" w:rsidRDefault="00C13EAF" w:rsidP="00C13EAF">
      <w:pPr>
        <w:spacing w:line="260" w:lineRule="atLeast"/>
        <w:rPr>
          <w:rFonts w:eastAsia="Calibri"/>
          <w:iCs/>
          <w:lang w:eastAsia="en-US"/>
        </w:rPr>
      </w:pPr>
      <w:r w:rsidRPr="00C13EAF">
        <w:rPr>
          <w:rFonts w:eastAsia="Calibri"/>
          <w:iCs/>
          <w:lang w:eastAsia="en-US"/>
        </w:rPr>
        <w:t>- The potential degradation compounds (if any), its concentration and its toxicity.</w:t>
      </w:r>
    </w:p>
    <w:p w14:paraId="6852397B" w14:textId="77777777" w:rsidR="00C13EAF" w:rsidRDefault="00C13EAF" w:rsidP="00C13EAF">
      <w:pPr>
        <w:spacing w:line="260" w:lineRule="atLeast"/>
        <w:rPr>
          <w:rFonts w:eastAsia="Calibri"/>
          <w:iCs/>
          <w:lang w:eastAsia="en-US"/>
        </w:rPr>
      </w:pPr>
    </w:p>
    <w:p w14:paraId="357420D1" w14:textId="77777777" w:rsidR="00C13EAF" w:rsidRDefault="00C13EAF" w:rsidP="00C13EAF">
      <w:pPr>
        <w:spacing w:line="260" w:lineRule="atLeast"/>
        <w:rPr>
          <w:rFonts w:eastAsia="Calibri"/>
          <w:iCs/>
          <w:lang w:eastAsia="en-US"/>
        </w:rPr>
      </w:pPr>
      <w:r w:rsidRPr="00C13EAF">
        <w:rPr>
          <w:rFonts w:eastAsia="Calibri"/>
          <w:iCs/>
          <w:lang w:eastAsia="en-US"/>
        </w:rPr>
        <w:t>The active substance is not prone to hydrolysis (PAR p.18). Therefore no exposure to degradation product of sodium benzoate is expected.</w:t>
      </w:r>
    </w:p>
    <w:p w14:paraId="431BB270" w14:textId="77777777" w:rsidR="00C13EAF" w:rsidRDefault="00C13EAF">
      <w:pPr>
        <w:spacing w:line="260" w:lineRule="atLeast"/>
        <w:rPr>
          <w:rFonts w:eastAsia="Calibri"/>
          <w:iCs/>
          <w:lang w:eastAsia="en-US"/>
        </w:rPr>
      </w:pPr>
    </w:p>
    <w:p w14:paraId="18995B97" w14:textId="77777777" w:rsidR="00B91223" w:rsidRDefault="000C501E">
      <w:pPr>
        <w:spacing w:line="260" w:lineRule="atLeast"/>
        <w:rPr>
          <w:rFonts w:eastAsia="Calibri"/>
          <w:iCs/>
          <w:lang w:eastAsia="en-US"/>
        </w:rPr>
      </w:pPr>
      <w:r w:rsidRPr="000C501E">
        <w:rPr>
          <w:rFonts w:eastAsia="Calibri"/>
          <w:iCs/>
          <w:noProof/>
          <w:lang w:val="nl-NL" w:eastAsia="nl-NL"/>
        </w:rPr>
        <mc:AlternateContent>
          <mc:Choice Requires="wps">
            <w:drawing>
              <wp:inline distT="0" distB="0" distL="0" distR="0" wp14:anchorId="54C1E926" wp14:editId="2E1A37D7">
                <wp:extent cx="5791200" cy="1403985"/>
                <wp:effectExtent l="0" t="0" r="19050" b="2540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chemeClr val="bg1">
                            <a:lumMod val="85000"/>
                          </a:schemeClr>
                        </a:solidFill>
                        <a:ln w="9525">
                          <a:solidFill>
                            <a:srgbClr val="000000"/>
                          </a:solidFill>
                          <a:miter lim="800000"/>
                          <a:headEnd/>
                          <a:tailEnd/>
                        </a:ln>
                      </wps:spPr>
                      <wps:txbx>
                        <w:txbxContent>
                          <w:p w14:paraId="292D3C61" w14:textId="77777777" w:rsidR="00980D14" w:rsidRPr="000C501E" w:rsidRDefault="00980D14" w:rsidP="000C501E">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rinsing</w:t>
                            </w:r>
                            <w:r w:rsidRPr="000C501E">
                              <w:t>, amount of water left on dishes is 5.5 x 10</w:t>
                            </w:r>
                            <w:r w:rsidRPr="00107787">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0.0105 mg/kg bw/day.</w:t>
                            </w:r>
                          </w:p>
                        </w:txbxContent>
                      </wps:txbx>
                      <wps:bodyPr rot="0" vert="horz" wrap="square" lIns="91440" tIns="45720" rIns="91440" bIns="45720" anchor="t" anchorCtr="0">
                        <a:spAutoFit/>
                      </wps:bodyPr>
                    </wps:wsp>
                  </a:graphicData>
                </a:graphic>
              </wp:inline>
            </w:drawing>
          </mc:Choice>
          <mc:Fallback>
            <w:pict>
              <v:shape w14:anchorId="54C1E926" id="_x0000_s1031" type="#_x0000_t202" style="width:45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" fillcolor="#d8d8d8 [2732]">
                <v:textbox style="mso-fit-shape-to-text:t">
                  <w:txbxContent>
                    <w:p w14:paraId="292D3C61" w14:textId="77777777" w:rsidR="00980D14" w:rsidRPr="000C501E" w:rsidRDefault="00980D14" w:rsidP="000C501E">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rinsing</w:t>
                      </w:r>
                      <w:r w:rsidRPr="000C501E">
                        <w:t>, amount of water left on dishes is 5.5 x 10</w:t>
                      </w:r>
                      <w:r w:rsidRPr="00107787">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0.0105 mg/kg bw/day.</w:t>
                      </w:r>
                    </w:p>
                  </w:txbxContent>
                </v:textbox>
                <w10:anchorlock/>
              </v:shape>
            </w:pict>
          </mc:Fallback>
        </mc:AlternateContent>
      </w:r>
    </w:p>
    <w:p w14:paraId="4E5B6EB8" w14:textId="77777777" w:rsidR="000C501E" w:rsidRDefault="000C501E">
      <w:pPr>
        <w:spacing w:line="260" w:lineRule="atLeast"/>
        <w:rPr>
          <w:rFonts w:eastAsia="Calibri"/>
          <w:iCs/>
          <w:lang w:eastAsia="en-US"/>
        </w:rPr>
      </w:pPr>
    </w:p>
    <w:p w14:paraId="24B371E5" w14:textId="77777777" w:rsidR="00B91223" w:rsidRDefault="00B91223" w:rsidP="00B91223">
      <w:pPr>
        <w:rPr>
          <w:rFonts w:eastAsia="Calibri"/>
          <w:i/>
          <w:sz w:val="22"/>
          <w:szCs w:val="22"/>
          <w:u w:val="single"/>
          <w:lang w:eastAsia="en-US"/>
        </w:rPr>
      </w:pPr>
      <w:r>
        <w:rPr>
          <w:rFonts w:eastAsia="Calibri"/>
          <w:i/>
          <w:sz w:val="22"/>
          <w:szCs w:val="22"/>
          <w:u w:val="single"/>
          <w:lang w:eastAsia="en-US"/>
        </w:rPr>
        <w:t>Scenario 1</w:t>
      </w:r>
      <w:r w:rsidR="00B25C64">
        <w:rPr>
          <w:rFonts w:eastAsia="Calibri"/>
          <w:i/>
          <w:sz w:val="22"/>
          <w:szCs w:val="22"/>
          <w:u w:val="single"/>
          <w:lang w:eastAsia="en-US"/>
        </w:rPr>
        <w:t>5</w:t>
      </w:r>
      <w:r>
        <w:rPr>
          <w:rFonts w:eastAsia="Calibri"/>
          <w:i/>
          <w:sz w:val="22"/>
          <w:szCs w:val="22"/>
          <w:u w:val="single"/>
          <w:lang w:eastAsia="en-US"/>
        </w:rPr>
        <w:t xml:space="preserve">: Exposure of toddlers to residues </w:t>
      </w:r>
      <w:r w:rsidRPr="00B91223">
        <w:rPr>
          <w:rFonts w:eastAsia="Calibri"/>
          <w:i/>
          <w:sz w:val="22"/>
          <w:szCs w:val="22"/>
          <w:u w:val="single"/>
          <w:lang w:eastAsia="en-US"/>
        </w:rPr>
        <w:t>of all-purpose cleaners</w:t>
      </w:r>
    </w:p>
    <w:p w14:paraId="13252AFF" w14:textId="77777777" w:rsidR="00B91223" w:rsidRDefault="00B91223" w:rsidP="00B91223">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47"/>
        <w:gridCol w:w="4285"/>
        <w:gridCol w:w="3079"/>
      </w:tblGrid>
      <w:tr w:rsidR="00B91223" w14:paraId="5A877A2E" w14:textId="77777777" w:rsidTr="00132530">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14:paraId="13EF3315" w14:textId="77777777" w:rsidR="00B91223" w:rsidRDefault="00B91223" w:rsidP="00B25C64">
            <w:pPr>
              <w:spacing w:line="260" w:lineRule="atLeast"/>
              <w:rPr>
                <w:rFonts w:eastAsia="Calibri"/>
                <w:b/>
                <w:lang w:eastAsia="en-US"/>
              </w:rPr>
            </w:pPr>
            <w:r>
              <w:rPr>
                <w:rFonts w:eastAsia="Calibri"/>
                <w:b/>
                <w:lang w:eastAsia="en-US"/>
              </w:rPr>
              <w:t>Description of Scenario 1</w:t>
            </w:r>
            <w:r w:rsidR="00B25C64">
              <w:rPr>
                <w:rFonts w:eastAsia="Calibri"/>
                <w:b/>
                <w:lang w:eastAsia="en-US"/>
              </w:rPr>
              <w:t>5</w:t>
            </w:r>
          </w:p>
        </w:tc>
      </w:tr>
      <w:tr w:rsidR="00B91223" w14:paraId="7EEFE305" w14:textId="77777777" w:rsidTr="00132530">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67107A" w14:textId="77777777" w:rsidR="00B91223" w:rsidRDefault="00B91223" w:rsidP="003D6E34">
            <w:pPr>
              <w:spacing w:line="260" w:lineRule="atLeast"/>
              <w:jc w:val="both"/>
              <w:rPr>
                <w:rFonts w:eastAsia="Calibri"/>
                <w:lang w:eastAsia="en-US"/>
              </w:rPr>
            </w:pPr>
            <w:r>
              <w:rPr>
                <w:rFonts w:eastAsia="Calibri"/>
                <w:lang w:eastAsia="en-US"/>
              </w:rPr>
              <w:t xml:space="preserve">A toddler is exposed to residues of sodium benzoate </w:t>
            </w:r>
            <w:r w:rsidR="003D6E34">
              <w:rPr>
                <w:rFonts w:eastAsia="Calibri"/>
                <w:lang w:eastAsia="en-US"/>
              </w:rPr>
              <w:t xml:space="preserve">from all-purpose </w:t>
            </w:r>
            <w:proofErr w:type="spellStart"/>
            <w:r w:rsidR="003D6E34">
              <w:rPr>
                <w:rFonts w:eastAsia="Calibri"/>
                <w:lang w:eastAsia="en-US"/>
              </w:rPr>
              <w:t>clearner</w:t>
            </w:r>
            <w:proofErr w:type="spellEnd"/>
            <w:r w:rsidR="003D6E34">
              <w:rPr>
                <w:rFonts w:eastAsia="Calibri"/>
                <w:lang w:eastAsia="en-US"/>
              </w:rPr>
              <w:t xml:space="preserve"> applied on floor by </w:t>
            </w:r>
            <w:proofErr w:type="spellStart"/>
            <w:r w:rsidR="003D6E34">
              <w:rPr>
                <w:rFonts w:eastAsia="Calibri"/>
                <w:lang w:eastAsia="en-US"/>
              </w:rPr>
              <w:t>crowling</w:t>
            </w:r>
            <w:proofErr w:type="spellEnd"/>
            <w:r w:rsidR="003D6E34">
              <w:rPr>
                <w:rFonts w:eastAsia="Calibri"/>
                <w:lang w:eastAsia="en-US"/>
              </w:rPr>
              <w:t xml:space="preserve"> and hand-to-mouth ingestion. A toddler is assumed to stay on cleaned floor for 1 hour.</w:t>
            </w:r>
          </w:p>
        </w:tc>
      </w:tr>
      <w:tr w:rsidR="00B91223" w14:paraId="435D90A2" w14:textId="77777777" w:rsidTr="00132530">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E53AB0"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096627" w14:textId="77777777" w:rsidR="00B91223" w:rsidRDefault="00B91223" w:rsidP="00132530">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A0B572" w14:textId="77777777" w:rsidR="00B91223" w:rsidRDefault="00B91223" w:rsidP="00132530">
            <w:pPr>
              <w:spacing w:line="260" w:lineRule="atLeast"/>
              <w:rPr>
                <w:rFonts w:eastAsia="Calibri"/>
                <w:lang w:eastAsia="en-US"/>
              </w:rPr>
            </w:pPr>
            <w:r>
              <w:rPr>
                <w:rFonts w:eastAsia="Calibri"/>
                <w:lang w:eastAsia="en-US"/>
              </w:rPr>
              <w:t>Value</w:t>
            </w:r>
          </w:p>
        </w:tc>
      </w:tr>
      <w:tr w:rsidR="003D6E34" w14:paraId="253B34EC" w14:textId="77777777" w:rsidTr="00132530">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275DC" w14:textId="77777777"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F05F0C" w14:textId="77777777" w:rsidR="003D6E34" w:rsidRDefault="003D6E34" w:rsidP="003D6E34">
            <w:pPr>
              <w:spacing w:line="260" w:lineRule="atLeast"/>
              <w:rPr>
                <w:rFonts w:eastAsia="Calibri"/>
                <w:lang w:eastAsia="en-US"/>
              </w:rPr>
            </w:pPr>
            <w:r>
              <w:rPr>
                <w:lang w:val="en-US"/>
              </w:rPr>
              <w:t>Concentration sodium benzoate</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7B3F61" w14:textId="77777777" w:rsidR="003D6E34" w:rsidRDefault="003D6E34" w:rsidP="00132530">
            <w:pPr>
              <w:spacing w:line="260" w:lineRule="atLeast"/>
              <w:rPr>
                <w:rFonts w:eastAsia="Calibri"/>
                <w:lang w:eastAsia="en-US"/>
              </w:rPr>
            </w:pPr>
            <w:r>
              <w:rPr>
                <w:lang w:val="en-US"/>
              </w:rPr>
              <w:t>0.031%</w:t>
            </w:r>
          </w:p>
        </w:tc>
      </w:tr>
      <w:tr w:rsidR="00B91223" w14:paraId="1D89E987"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69FC8D"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0A9D9D" w14:textId="77777777" w:rsidR="00B91223" w:rsidRDefault="003D6E34" w:rsidP="00132530">
            <w:pPr>
              <w:spacing w:line="260" w:lineRule="atLeast"/>
              <w:rPr>
                <w:rFonts w:eastAsia="Calibri"/>
                <w:lang w:eastAsia="en-US"/>
              </w:rPr>
            </w:pPr>
            <w:r>
              <w:rPr>
                <w:rFonts w:eastAsia="Calibri"/>
                <w:lang w:eastAsia="en-US"/>
              </w:rPr>
              <w:t xml:space="preserve">Indoor Transfer Coefficient </w:t>
            </w:r>
            <w:r w:rsidR="00B91223">
              <w:rPr>
                <w:rFonts w:eastAsia="Calibri"/>
                <w:lang w:eastAsia="en-US"/>
              </w:rPr>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4D7B8F" w14:textId="77777777" w:rsidR="00B91223" w:rsidRDefault="003D6E34" w:rsidP="00132530">
            <w:pPr>
              <w:spacing w:line="260" w:lineRule="atLeast"/>
              <w:rPr>
                <w:rFonts w:eastAsia="Calibri"/>
                <w:lang w:eastAsia="en-US"/>
              </w:rPr>
            </w:pPr>
            <w:r>
              <w:rPr>
                <w:rFonts w:eastAsia="Calibri"/>
                <w:lang w:eastAsia="en-US"/>
              </w:rPr>
              <w:t>2100 cm2/h (</w:t>
            </w:r>
            <w:proofErr w:type="spellStart"/>
            <w:r>
              <w:rPr>
                <w:rFonts w:eastAsia="Calibri"/>
                <w:lang w:eastAsia="en-US"/>
              </w:rPr>
              <w:t>HEAd</w:t>
            </w:r>
            <w:proofErr w:type="spellEnd"/>
            <w:r>
              <w:rPr>
                <w:rFonts w:eastAsia="Calibri"/>
                <w:lang w:eastAsia="en-US"/>
              </w:rPr>
              <w:t xml:space="preserve"> hoc recommendation 12, child 1&lt;2 </w:t>
            </w:r>
            <w:proofErr w:type="spellStart"/>
            <w:r>
              <w:rPr>
                <w:rFonts w:eastAsia="Calibri"/>
                <w:lang w:eastAsia="en-US"/>
              </w:rPr>
              <w:t>yrs</w:t>
            </w:r>
            <w:proofErr w:type="spellEnd"/>
            <w:r>
              <w:rPr>
                <w:rFonts w:eastAsia="Calibri"/>
                <w:lang w:eastAsia="en-US"/>
              </w:rPr>
              <w:t>)</w:t>
            </w:r>
          </w:p>
        </w:tc>
      </w:tr>
      <w:tr w:rsidR="00B91223" w14:paraId="594D274C"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D0ABF2"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613CD4" w14:textId="77777777" w:rsidR="00B91223" w:rsidRDefault="003D6E34" w:rsidP="00132530">
            <w:pPr>
              <w:spacing w:line="260" w:lineRule="atLeast"/>
              <w:rPr>
                <w:rFonts w:eastAsia="Calibri"/>
                <w:lang w:eastAsia="en-US"/>
              </w:rPr>
            </w:pPr>
            <w:r>
              <w:rPr>
                <w:rFonts w:eastAsia="Calibri"/>
                <w:lang w:eastAsia="en-US"/>
              </w:rPr>
              <w:t>Exposure duration</w:t>
            </w:r>
            <w:r w:rsidR="00B91223">
              <w:rPr>
                <w:rFonts w:eastAsia="Calibri"/>
                <w:lang w:eastAsia="en-US"/>
              </w:rPr>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6769A8" w14:textId="77777777" w:rsidR="00B91223" w:rsidRDefault="003D6E34" w:rsidP="003D6E34">
            <w:pPr>
              <w:spacing w:line="260" w:lineRule="atLeast"/>
              <w:rPr>
                <w:rFonts w:eastAsia="Calibri"/>
                <w:lang w:eastAsia="en-US"/>
              </w:rPr>
            </w:pPr>
            <w:r>
              <w:rPr>
                <w:rFonts w:eastAsia="Calibri"/>
                <w:lang w:eastAsia="en-US"/>
              </w:rPr>
              <w:t>1 h</w:t>
            </w:r>
            <w:r w:rsidR="00E64D74">
              <w:rPr>
                <w:rFonts w:eastAsia="Calibri"/>
                <w:lang w:eastAsia="en-US"/>
              </w:rPr>
              <w:t>/day</w:t>
            </w:r>
          </w:p>
        </w:tc>
      </w:tr>
      <w:tr w:rsidR="00B91223" w14:paraId="5408873F"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E98392"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6966A2" w14:textId="77777777" w:rsidR="00B91223" w:rsidRDefault="003D6E34" w:rsidP="00132530">
            <w:pPr>
              <w:spacing w:line="260" w:lineRule="atLeast"/>
              <w:rPr>
                <w:rFonts w:eastAsia="Calibri"/>
                <w:lang w:eastAsia="en-US"/>
              </w:rPr>
            </w:pPr>
            <w:r>
              <w:t xml:space="preserve">Layer thickness of the applied cleaner on floor </w:t>
            </w:r>
            <w:r w:rsidR="00B91223">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933297" w14:textId="77777777" w:rsidR="00B91223" w:rsidRDefault="003D6E34" w:rsidP="00132530">
            <w:pPr>
              <w:spacing w:line="260" w:lineRule="atLeast"/>
              <w:rPr>
                <w:rFonts w:eastAsia="Calibri"/>
                <w:lang w:eastAsia="en-US"/>
              </w:rPr>
            </w:pPr>
            <w:r>
              <w:t>0.01 cm</w:t>
            </w:r>
          </w:p>
        </w:tc>
      </w:tr>
      <w:tr w:rsidR="003D6E34" w14:paraId="27FBC201"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396529" w14:textId="77777777"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EAB79A" w14:textId="77777777" w:rsidR="003D6E34" w:rsidRDefault="003D6E34" w:rsidP="00132530">
            <w:pPr>
              <w:spacing w:line="260" w:lineRule="atLeast"/>
              <w:rPr>
                <w:rFonts w:eastAsia="Calibri"/>
                <w:lang w:eastAsia="en-US"/>
              </w:rPr>
            </w:pPr>
            <w:r>
              <w:rPr>
                <w:rFonts w:eastAsia="Calibri"/>
                <w:lang w:eastAsia="en-US"/>
              </w:rPr>
              <w:t xml:space="preserve">Transfer coefficient from floor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926364" w14:textId="77777777" w:rsidR="003D6E34" w:rsidRDefault="003D6E34" w:rsidP="00132530">
            <w:pPr>
              <w:spacing w:line="260" w:lineRule="atLeast"/>
              <w:rPr>
                <w:rFonts w:eastAsia="Calibri"/>
                <w:lang w:eastAsia="en-US"/>
              </w:rPr>
            </w:pPr>
            <w:r>
              <w:rPr>
                <w:rFonts w:eastAsia="Calibri"/>
                <w:lang w:eastAsia="en-US"/>
              </w:rPr>
              <w:t>55% (</w:t>
            </w:r>
            <w:proofErr w:type="spellStart"/>
            <w:r>
              <w:rPr>
                <w:rFonts w:eastAsia="Calibri"/>
                <w:lang w:eastAsia="en-US"/>
              </w:rPr>
              <w:t>TNsG</w:t>
            </w:r>
            <w:proofErr w:type="spellEnd"/>
            <w:r>
              <w:rPr>
                <w:rFonts w:eastAsia="Calibri"/>
                <w:lang w:eastAsia="en-US"/>
              </w:rPr>
              <w:t xml:space="preserve"> 2007, White smooth glazed tile, dried fluid)</w:t>
            </w:r>
          </w:p>
        </w:tc>
      </w:tr>
      <w:tr w:rsidR="003D6E34" w14:paraId="7BB5D035"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4E6F91" w14:textId="77777777"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1AC0ED" w14:textId="77777777" w:rsidR="003D6E34" w:rsidRDefault="003D6E34" w:rsidP="00132530">
            <w:pPr>
              <w:spacing w:line="260" w:lineRule="atLeast"/>
              <w:rPr>
                <w:rFonts w:eastAsia="Calibri"/>
                <w:lang w:eastAsia="en-US"/>
              </w:rPr>
            </w:pPr>
            <w:r>
              <w:rPr>
                <w:rFonts w:eastAsia="Calibri"/>
                <w:lang w:eastAsia="en-US"/>
              </w:rPr>
              <w:t>Amount of residue ingested by hand-to-mouth transfer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68273C" w14:textId="77777777" w:rsidR="003D6E34" w:rsidRDefault="003D6E34" w:rsidP="00132530">
            <w:pPr>
              <w:spacing w:line="260" w:lineRule="atLeast"/>
              <w:rPr>
                <w:rFonts w:eastAsia="Calibri"/>
                <w:lang w:eastAsia="en-US"/>
              </w:rPr>
            </w:pPr>
            <w:r>
              <w:rPr>
                <w:rFonts w:eastAsia="Calibri"/>
                <w:lang w:eastAsia="en-US"/>
              </w:rPr>
              <w:t>10% of the total external exposure</w:t>
            </w:r>
          </w:p>
        </w:tc>
      </w:tr>
      <w:tr w:rsidR="003D6E34" w14:paraId="4A4C4554"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016FED" w14:textId="77777777"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2F9584" w14:textId="77777777" w:rsidR="003D6E34" w:rsidRDefault="003D6E34" w:rsidP="00132530">
            <w:pPr>
              <w:spacing w:line="260" w:lineRule="atLeast"/>
              <w:rPr>
                <w:rFonts w:eastAsia="Calibri"/>
                <w:lang w:eastAsia="en-US"/>
              </w:rPr>
            </w:pPr>
            <w:r>
              <w:rPr>
                <w:rFonts w:eastAsia="Calibri"/>
                <w:lang w:eastAsia="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87A832" w14:textId="77777777" w:rsidR="003D6E34" w:rsidRDefault="003D6E34" w:rsidP="00132530">
            <w:pPr>
              <w:spacing w:line="260" w:lineRule="atLeast"/>
              <w:rPr>
                <w:rFonts w:eastAsia="Calibri"/>
                <w:lang w:eastAsia="en-US"/>
              </w:rPr>
            </w:pPr>
            <w:r>
              <w:rPr>
                <w:rFonts w:eastAsia="Calibri"/>
                <w:lang w:eastAsia="en-US"/>
              </w:rPr>
              <w:t>75%</w:t>
            </w:r>
          </w:p>
        </w:tc>
      </w:tr>
      <w:tr w:rsidR="00B91223" w14:paraId="64467705"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0C8613"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806995" w14:textId="77777777" w:rsidR="00B91223" w:rsidRDefault="00B91223" w:rsidP="00132530">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5F5B83" w14:textId="77777777" w:rsidR="00B91223" w:rsidRDefault="00B91223" w:rsidP="00132530">
            <w:pPr>
              <w:spacing w:line="260" w:lineRule="atLeast"/>
              <w:rPr>
                <w:rFonts w:eastAsia="Calibri"/>
                <w:lang w:eastAsia="en-US"/>
              </w:rPr>
            </w:pPr>
            <w:r>
              <w:rPr>
                <w:rFonts w:eastAsia="Calibri"/>
                <w:lang w:eastAsia="en-US"/>
              </w:rPr>
              <w:t>100%</w:t>
            </w:r>
          </w:p>
        </w:tc>
      </w:tr>
      <w:tr w:rsidR="00B91223" w14:paraId="7FA96FAC" w14:textId="77777777"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50F120" w14:textId="77777777"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3F5190" w14:textId="77777777" w:rsidR="00B91223" w:rsidRDefault="00B91223" w:rsidP="00132530">
            <w:pPr>
              <w:spacing w:line="260" w:lineRule="atLeast"/>
              <w:rPr>
                <w:rFonts w:eastAsia="Calibri"/>
                <w:lang w:eastAsia="en-US"/>
              </w:rPr>
            </w:pPr>
            <w:r>
              <w:rPr>
                <w:rFonts w:eastAsia="Calibri"/>
                <w:lang w:eastAsia="en-US"/>
              </w:rPr>
              <w:t>Body weight toddler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28BB62" w14:textId="77777777" w:rsidR="00B91223" w:rsidRDefault="00B91223" w:rsidP="00132530">
            <w:pPr>
              <w:spacing w:line="260" w:lineRule="atLeast"/>
              <w:rPr>
                <w:rFonts w:eastAsia="Calibri"/>
                <w:lang w:eastAsia="en-US"/>
              </w:rPr>
            </w:pPr>
            <w:r>
              <w:rPr>
                <w:rFonts w:eastAsia="Calibri"/>
                <w:lang w:eastAsia="en-US"/>
              </w:rPr>
              <w:t>10 kg</w:t>
            </w:r>
          </w:p>
        </w:tc>
      </w:tr>
    </w:tbl>
    <w:p w14:paraId="222E1EDC" w14:textId="77777777" w:rsidR="00B91223" w:rsidRDefault="00B91223" w:rsidP="00B91223">
      <w:pPr>
        <w:spacing w:line="260" w:lineRule="atLeast"/>
        <w:rPr>
          <w:rFonts w:eastAsia="Calibri"/>
          <w:lang w:eastAsia="en-US"/>
        </w:rPr>
      </w:pPr>
    </w:p>
    <w:p w14:paraId="5E629DAF" w14:textId="77777777" w:rsidR="00B91223" w:rsidRDefault="00B91223" w:rsidP="00B91223">
      <w:pPr>
        <w:spacing w:line="260" w:lineRule="atLeast"/>
        <w:rPr>
          <w:rFonts w:eastAsia="Calibri"/>
          <w:b/>
          <w:lang w:eastAsia="en-US"/>
        </w:rPr>
      </w:pPr>
      <w:r>
        <w:rPr>
          <w:rFonts w:eastAsia="Calibri"/>
          <w:b/>
          <w:lang w:eastAsia="en-US"/>
        </w:rPr>
        <w:t>Calculations for Scenario 1</w:t>
      </w:r>
      <w:r w:rsidR="00B25C64">
        <w:rPr>
          <w:rFonts w:eastAsia="Calibri"/>
          <w:b/>
          <w:lang w:eastAsia="en-US"/>
        </w:rPr>
        <w:t>5</w:t>
      </w:r>
    </w:p>
    <w:p w14:paraId="08483285" w14:textId="77777777" w:rsidR="00B91223" w:rsidRDefault="00B91223" w:rsidP="00B91223">
      <w:pPr>
        <w:spacing w:line="260" w:lineRule="atLeast"/>
        <w:rPr>
          <w:rFonts w:eastAsia="Calibri"/>
          <w:iCs/>
          <w:lang w:eastAsia="en-US"/>
        </w:rPr>
      </w:pPr>
      <w:r>
        <w:rPr>
          <w:rFonts w:eastAsia="Calibri"/>
          <w:iCs/>
          <w:lang w:eastAsia="en-US"/>
        </w:rPr>
        <w:t xml:space="preserve">As the vapour pressure of sodium benzoate is extremely low, its evaporation from the residues on dinnerware is considered to be negligible; thus no respiratory exposure is expected. </w:t>
      </w:r>
    </w:p>
    <w:p w14:paraId="54C6DA07" w14:textId="77777777" w:rsidR="003D6E34" w:rsidRDefault="003D6E34" w:rsidP="00B91223">
      <w:pPr>
        <w:spacing w:line="260" w:lineRule="atLeast"/>
        <w:rPr>
          <w:rFonts w:eastAsia="Calibri"/>
          <w:iCs/>
          <w:lang w:eastAsia="en-US"/>
        </w:rPr>
      </w:pPr>
    </w:p>
    <w:p w14:paraId="6BA723D8" w14:textId="77777777" w:rsidR="003D6E34" w:rsidRDefault="003D6E34" w:rsidP="00B91223">
      <w:pPr>
        <w:spacing w:line="260" w:lineRule="atLeast"/>
        <w:rPr>
          <w:rFonts w:eastAsia="Calibri"/>
          <w:iCs/>
          <w:lang w:eastAsia="en-US"/>
        </w:rPr>
      </w:pPr>
      <w:r>
        <w:rPr>
          <w:rFonts w:eastAsia="Calibri"/>
          <w:iCs/>
          <w:lang w:eastAsia="en-US"/>
        </w:rPr>
        <w:lastRenderedPageBreak/>
        <w:t>External exposure of a toddler is calculated as following:</w:t>
      </w:r>
    </w:p>
    <w:p w14:paraId="0617057E" w14:textId="77777777" w:rsidR="003D6E34" w:rsidRDefault="003D6E34" w:rsidP="003D6E34">
      <w:pPr>
        <w:spacing w:line="260" w:lineRule="atLeast"/>
        <w:rPr>
          <w:rFonts w:eastAsia="Calibri"/>
          <w:iCs/>
          <w:lang w:eastAsia="en-US"/>
        </w:rPr>
      </w:pPr>
    </w:p>
    <w:p w14:paraId="3C3A552B" w14:textId="77777777" w:rsidR="00E64D74" w:rsidRDefault="003D6E34" w:rsidP="003D6E34">
      <w:pPr>
        <w:spacing w:line="260" w:lineRule="atLeast"/>
        <w:rPr>
          <w:rFonts w:eastAsia="Calibri"/>
          <w:iCs/>
          <w:lang w:eastAsia="en-US"/>
        </w:rPr>
      </w:pPr>
      <w:r w:rsidRPr="003D6E34">
        <w:rPr>
          <w:rFonts w:eastAsia="Calibri"/>
          <w:iCs/>
          <w:lang w:eastAsia="en-US"/>
        </w:rPr>
        <w:t xml:space="preserve">2100 cm2/h </w:t>
      </w:r>
      <w:r>
        <w:rPr>
          <w:rFonts w:eastAsia="Calibri"/>
          <w:iCs/>
          <w:lang w:eastAsia="en-US"/>
        </w:rPr>
        <w:t>x 1 h x 0.01 cm x55</w:t>
      </w:r>
      <w:r w:rsidRPr="003D6E34">
        <w:rPr>
          <w:rFonts w:eastAsia="Calibri"/>
          <w:iCs/>
          <w:lang w:eastAsia="en-US"/>
        </w:rPr>
        <w:t xml:space="preserve">% transfer x  0.031% (expressed as benzoic acid) </w:t>
      </w:r>
    </w:p>
    <w:p w14:paraId="24E21469" w14:textId="77777777" w:rsidR="003D6E34" w:rsidRPr="003D6E34" w:rsidRDefault="003D6E34" w:rsidP="003D6E34">
      <w:pPr>
        <w:spacing w:line="260" w:lineRule="atLeast"/>
        <w:rPr>
          <w:rFonts w:eastAsia="Calibri"/>
          <w:iCs/>
          <w:lang w:eastAsia="en-US"/>
        </w:rPr>
      </w:pPr>
      <w:r w:rsidRPr="003D6E34">
        <w:rPr>
          <w:rFonts w:eastAsia="Calibri"/>
          <w:iCs/>
          <w:lang w:eastAsia="en-US"/>
        </w:rPr>
        <w:t xml:space="preserve">= </w:t>
      </w:r>
      <w:r w:rsidR="00E64D74">
        <w:rPr>
          <w:rFonts w:eastAsia="Calibri"/>
          <w:iCs/>
          <w:lang w:eastAsia="en-US"/>
        </w:rPr>
        <w:t>3.58</w:t>
      </w:r>
      <w:r w:rsidRPr="003D6E34">
        <w:rPr>
          <w:rFonts w:eastAsia="Calibri"/>
          <w:iCs/>
          <w:lang w:eastAsia="en-US"/>
        </w:rPr>
        <w:t xml:space="preserve"> mg </w:t>
      </w:r>
      <w:r w:rsidR="00E64D74">
        <w:rPr>
          <w:rFonts w:eastAsia="Calibri"/>
          <w:iCs/>
          <w:lang w:eastAsia="en-US"/>
        </w:rPr>
        <w:t xml:space="preserve">external </w:t>
      </w:r>
      <w:r w:rsidRPr="003D6E34">
        <w:rPr>
          <w:rFonts w:eastAsia="Calibri"/>
          <w:iCs/>
          <w:lang w:eastAsia="en-US"/>
        </w:rPr>
        <w:t>exposure</w:t>
      </w:r>
    </w:p>
    <w:p w14:paraId="1035C60E" w14:textId="77777777" w:rsidR="00E64D74" w:rsidRDefault="00E64D74" w:rsidP="003D6E34">
      <w:pPr>
        <w:spacing w:line="260" w:lineRule="atLeast"/>
        <w:rPr>
          <w:rFonts w:eastAsia="Calibri"/>
          <w:iCs/>
          <w:lang w:eastAsia="en-US"/>
        </w:rPr>
      </w:pPr>
    </w:p>
    <w:p w14:paraId="79FBCC9E" w14:textId="77777777" w:rsidR="003D6E34" w:rsidRPr="003D6E34" w:rsidRDefault="003D6E34" w:rsidP="003D6E34">
      <w:pPr>
        <w:spacing w:line="260" w:lineRule="atLeast"/>
        <w:rPr>
          <w:rFonts w:eastAsia="Calibri"/>
          <w:iCs/>
          <w:lang w:eastAsia="en-US"/>
        </w:rPr>
      </w:pPr>
      <w:r w:rsidRPr="003D6E34">
        <w:rPr>
          <w:rFonts w:eastAsia="Calibri"/>
          <w:iCs/>
          <w:lang w:eastAsia="en-US"/>
        </w:rPr>
        <w:t>90% is exposed via skin and 10% is via oral route (hand-to-mouth)</w:t>
      </w:r>
    </w:p>
    <w:p w14:paraId="4BE5B8D1" w14:textId="77777777" w:rsidR="003D6E34" w:rsidRPr="003D6E34" w:rsidRDefault="003D6E34" w:rsidP="003D6E34">
      <w:pPr>
        <w:spacing w:line="260" w:lineRule="atLeast"/>
        <w:rPr>
          <w:rFonts w:eastAsia="Calibri"/>
          <w:iCs/>
          <w:lang w:eastAsia="en-US"/>
        </w:rPr>
      </w:pPr>
      <w:r w:rsidRPr="003D6E34">
        <w:rPr>
          <w:rFonts w:eastAsia="Calibri"/>
          <w:iCs/>
          <w:lang w:eastAsia="en-US"/>
        </w:rPr>
        <w:t xml:space="preserve">Skin: </w:t>
      </w:r>
      <w:r w:rsidR="00E64D74">
        <w:rPr>
          <w:rFonts w:eastAsia="Calibri"/>
          <w:iCs/>
          <w:lang w:eastAsia="en-US"/>
        </w:rPr>
        <w:t>3.58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x 90% x 75% dermal absorption=</w:t>
      </w:r>
      <w:r w:rsidR="00E64D74">
        <w:rPr>
          <w:rFonts w:eastAsia="Calibri"/>
          <w:iCs/>
          <w:lang w:eastAsia="en-US"/>
        </w:rPr>
        <w:t>2.42</w:t>
      </w:r>
      <w:r w:rsidRPr="003D6E34">
        <w:rPr>
          <w:rFonts w:eastAsia="Calibri"/>
          <w:iCs/>
          <w:lang w:eastAsia="en-US"/>
        </w:rPr>
        <w:t xml:space="preserve"> mg</w:t>
      </w:r>
      <w:r w:rsidR="00E64D74">
        <w:rPr>
          <w:rFonts w:eastAsia="Calibri"/>
          <w:iCs/>
          <w:lang w:eastAsia="en-US"/>
        </w:rPr>
        <w:t xml:space="preserve">/day = 0.24 mg/kg </w:t>
      </w:r>
      <w:proofErr w:type="spellStart"/>
      <w:r w:rsidR="00E64D74">
        <w:rPr>
          <w:rFonts w:eastAsia="Calibri"/>
          <w:iCs/>
          <w:lang w:eastAsia="en-US"/>
        </w:rPr>
        <w:t>bw</w:t>
      </w:r>
      <w:proofErr w:type="spellEnd"/>
      <w:r w:rsidR="00E64D74">
        <w:rPr>
          <w:rFonts w:eastAsia="Calibri"/>
          <w:iCs/>
          <w:lang w:eastAsia="en-US"/>
        </w:rPr>
        <w:t>/day</w:t>
      </w:r>
    </w:p>
    <w:p w14:paraId="46F007A9" w14:textId="77777777" w:rsidR="003D6E34" w:rsidRPr="003D6E34" w:rsidRDefault="003D6E34" w:rsidP="003D6E34">
      <w:pPr>
        <w:spacing w:line="260" w:lineRule="atLeast"/>
        <w:rPr>
          <w:rFonts w:eastAsia="Calibri"/>
          <w:iCs/>
          <w:lang w:eastAsia="en-US"/>
        </w:rPr>
      </w:pPr>
      <w:r w:rsidRPr="003D6E34">
        <w:rPr>
          <w:rFonts w:eastAsia="Calibri"/>
          <w:iCs/>
          <w:lang w:eastAsia="en-US"/>
        </w:rPr>
        <w:t xml:space="preserve">Oral : </w:t>
      </w:r>
      <w:r w:rsidR="00E64D74">
        <w:rPr>
          <w:rFonts w:eastAsia="Calibri"/>
          <w:iCs/>
          <w:lang w:eastAsia="en-US"/>
        </w:rPr>
        <w:t>3.58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x 10% x 100% oral absorption = 0.</w:t>
      </w:r>
      <w:r w:rsidR="00E64D74">
        <w:rPr>
          <w:rFonts w:eastAsia="Calibri"/>
          <w:iCs/>
          <w:lang w:eastAsia="en-US"/>
        </w:rPr>
        <w:t>36</w:t>
      </w:r>
      <w:r w:rsidRPr="003D6E34">
        <w:rPr>
          <w:rFonts w:eastAsia="Calibri"/>
          <w:iCs/>
          <w:lang w:eastAsia="en-US"/>
        </w:rPr>
        <w:t xml:space="preserve"> mg</w:t>
      </w:r>
      <w:r w:rsidR="00E64D74">
        <w:rPr>
          <w:rFonts w:eastAsia="Calibri"/>
          <w:iCs/>
          <w:lang w:eastAsia="en-US"/>
        </w:rPr>
        <w:t xml:space="preserve">/day = 0.04 mg/kg </w:t>
      </w:r>
      <w:proofErr w:type="spellStart"/>
      <w:r w:rsidR="00E64D74">
        <w:rPr>
          <w:rFonts w:eastAsia="Calibri"/>
          <w:iCs/>
          <w:lang w:eastAsia="en-US"/>
        </w:rPr>
        <w:t>bw</w:t>
      </w:r>
      <w:proofErr w:type="spellEnd"/>
      <w:r w:rsidR="00E64D74">
        <w:rPr>
          <w:rFonts w:eastAsia="Calibri"/>
          <w:iCs/>
          <w:lang w:eastAsia="en-US"/>
        </w:rPr>
        <w:t>/day</w:t>
      </w:r>
    </w:p>
    <w:p w14:paraId="0162C127" w14:textId="77777777" w:rsidR="003D6E34" w:rsidRDefault="003D6E34" w:rsidP="003D6E34">
      <w:pPr>
        <w:spacing w:line="260" w:lineRule="atLeast"/>
        <w:rPr>
          <w:rFonts w:eastAsia="Calibri"/>
          <w:iCs/>
          <w:lang w:eastAsia="en-US"/>
        </w:rPr>
      </w:pPr>
      <w:r w:rsidRPr="003D6E34">
        <w:rPr>
          <w:rFonts w:eastAsia="Calibri"/>
          <w:iCs/>
          <w:lang w:eastAsia="en-US"/>
        </w:rPr>
        <w:t xml:space="preserve">Total </w:t>
      </w:r>
      <w:r w:rsidR="00E64D74">
        <w:rPr>
          <w:rFonts w:eastAsia="Calibri"/>
          <w:iCs/>
          <w:lang w:eastAsia="en-US"/>
        </w:rPr>
        <w:t>2.78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 0.</w:t>
      </w:r>
      <w:r w:rsidR="00E64D74">
        <w:rPr>
          <w:rFonts w:eastAsia="Calibri"/>
          <w:iCs/>
          <w:lang w:eastAsia="en-US"/>
        </w:rPr>
        <w:t>28</w:t>
      </w:r>
      <w:r w:rsidRPr="003D6E34">
        <w:rPr>
          <w:rFonts w:eastAsia="Calibri"/>
          <w:iCs/>
          <w:lang w:eastAsia="en-US"/>
        </w:rPr>
        <w:t xml:space="preserve"> mg/kg </w:t>
      </w:r>
      <w:proofErr w:type="spellStart"/>
      <w:r w:rsidRPr="003D6E34">
        <w:rPr>
          <w:rFonts w:eastAsia="Calibri"/>
          <w:iCs/>
          <w:lang w:eastAsia="en-US"/>
        </w:rPr>
        <w:t>bw</w:t>
      </w:r>
      <w:proofErr w:type="spellEnd"/>
      <w:r w:rsidR="00E64D74">
        <w:rPr>
          <w:rFonts w:eastAsia="Calibri"/>
          <w:iCs/>
          <w:lang w:eastAsia="en-US"/>
        </w:rPr>
        <w:t>/day</w:t>
      </w:r>
      <w:r w:rsidRPr="003D6E34">
        <w:rPr>
          <w:rFonts w:eastAsia="Calibri"/>
          <w:iCs/>
          <w:lang w:eastAsia="en-US"/>
        </w:rPr>
        <w:t xml:space="preserve"> for a toddler of 10 kg </w:t>
      </w:r>
    </w:p>
    <w:p w14:paraId="4498B814" w14:textId="77777777" w:rsidR="00B91223" w:rsidRDefault="00B91223">
      <w:pPr>
        <w:spacing w:line="260" w:lineRule="atLeast"/>
        <w:rPr>
          <w:rFonts w:eastAsia="Calibri"/>
          <w:iCs/>
          <w:lang w:eastAsia="en-US"/>
        </w:rPr>
      </w:pPr>
    </w:p>
    <w:p w14:paraId="31DAB8F9" w14:textId="77777777"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205"/>
        <w:gridCol w:w="1701"/>
        <w:gridCol w:w="1559"/>
        <w:gridCol w:w="1702"/>
        <w:gridCol w:w="1417"/>
        <w:gridCol w:w="1841"/>
      </w:tblGrid>
      <w:tr w:rsidR="00CF59EF" w14:paraId="5608C4CE" w14:textId="77777777" w:rsidTr="00E64D74">
        <w:trPr>
          <w:cantSplit/>
          <w:tblHeader/>
        </w:trPr>
        <w:tc>
          <w:tcPr>
            <w:tcW w:w="9425"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2EF7085E" w14:textId="77777777" w:rsidR="00CF59EF" w:rsidRDefault="000B5D37">
            <w:pPr>
              <w:spacing w:line="260" w:lineRule="atLeast"/>
              <w:jc w:val="center"/>
              <w:rPr>
                <w:rFonts w:eastAsia="Calibri"/>
                <w:b/>
                <w:lang w:eastAsia="en-US"/>
              </w:rPr>
            </w:pPr>
            <w:r>
              <w:rPr>
                <w:rFonts w:eastAsia="Calibri"/>
                <w:b/>
                <w:lang w:eastAsia="en-US"/>
              </w:rPr>
              <w:t>Summary table: systemic exposure from non-professional uses</w:t>
            </w:r>
          </w:p>
        </w:tc>
      </w:tr>
      <w:tr w:rsidR="00CF59EF" w14:paraId="1A965624"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972F7B1" w14:textId="77777777" w:rsidR="00CF59EF" w:rsidRDefault="000B5D3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950782" w14:textId="77777777" w:rsidR="00CF59EF" w:rsidRDefault="000B5D37">
            <w:pPr>
              <w:spacing w:line="260" w:lineRule="atLeast"/>
              <w:rPr>
                <w:rFonts w:eastAsia="Calibri"/>
                <w:b/>
                <w:lang w:eastAsia="en-US"/>
              </w:rPr>
            </w:pPr>
            <w:r>
              <w:rPr>
                <w:rFonts w:eastAsia="Calibri"/>
                <w:b/>
                <w:lang w:eastAsia="en-US"/>
              </w:rPr>
              <w:t>Tier/PPE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24DE7A3" w14:textId="77777777" w:rsidR="00CF59EF" w:rsidRDefault="000B5D37">
            <w:pPr>
              <w:spacing w:line="260" w:lineRule="atLeast"/>
              <w:rPr>
                <w:rFonts w:eastAsia="Calibri"/>
                <w:b/>
                <w:lang w:eastAsia="en-US"/>
              </w:rPr>
            </w:pPr>
            <w:r>
              <w:rPr>
                <w:rFonts w:eastAsia="Calibri"/>
                <w:b/>
                <w:lang w:eastAsia="en-US"/>
              </w:rPr>
              <w:t>Estimated inhalation uptake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1BC10CA" w14:textId="77777777" w:rsidR="00CF59EF" w:rsidRDefault="000B5D37">
            <w:pPr>
              <w:spacing w:line="260" w:lineRule="atLeast"/>
              <w:rPr>
                <w:rFonts w:eastAsia="Calibri"/>
                <w:b/>
                <w:lang w:eastAsia="en-US"/>
              </w:rPr>
            </w:pPr>
            <w:r>
              <w:rPr>
                <w:rFonts w:eastAsia="Calibri"/>
                <w:b/>
                <w:lang w:eastAsia="en-US"/>
              </w:rPr>
              <w:t>Estimated dermal uptake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6DCCE2F" w14:textId="77777777" w:rsidR="00CF59EF" w:rsidRDefault="000B5D37">
            <w:pPr>
              <w:spacing w:line="260" w:lineRule="atLeast"/>
              <w:rPr>
                <w:rFonts w:eastAsia="Calibri"/>
                <w:b/>
                <w:lang w:eastAsia="en-US"/>
              </w:rPr>
            </w:pPr>
            <w:r>
              <w:rPr>
                <w:rFonts w:eastAsia="Calibri"/>
                <w:b/>
                <w:lang w:eastAsia="en-US"/>
              </w:rPr>
              <w:t>Estimated oral uptake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FDE9F68" w14:textId="77777777" w:rsidR="00CF59EF" w:rsidRDefault="000B5D37">
            <w:pPr>
              <w:spacing w:line="260" w:lineRule="atLeast"/>
              <w:rPr>
                <w:rFonts w:eastAsia="Calibri"/>
                <w:b/>
                <w:lang w:eastAsia="en-US"/>
              </w:rPr>
            </w:pPr>
            <w:r>
              <w:rPr>
                <w:rFonts w:eastAsia="Calibri"/>
                <w:b/>
                <w:lang w:eastAsia="en-US"/>
              </w:rPr>
              <w:t>Estimated total uptake*</w:t>
            </w:r>
          </w:p>
        </w:tc>
      </w:tr>
      <w:tr w:rsidR="00CF59EF" w14:paraId="228EEB97"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4735236" w14:textId="77777777" w:rsidR="00CF59EF" w:rsidRDefault="000B5D37">
            <w:pPr>
              <w:spacing w:line="260" w:lineRule="atLeast"/>
              <w:rPr>
                <w:rFonts w:eastAsia="Calibri"/>
                <w:lang w:eastAsia="en-US"/>
              </w:rPr>
            </w:pPr>
            <w:r>
              <w:rPr>
                <w:rFonts w:eastAsia="Calibri"/>
                <w:lang w:eastAsia="en-US"/>
              </w:rPr>
              <w:t>Scenario 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7259EC3"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9485AB5"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7CCB09E" w14:textId="77777777" w:rsidR="00CF59EF" w:rsidRDefault="000B5D37" w:rsidP="00132530">
            <w:pPr>
              <w:spacing w:line="260" w:lineRule="atLeast"/>
              <w:rPr>
                <w:rFonts w:eastAsia="Calibri"/>
                <w:lang w:eastAsia="en-US"/>
              </w:rPr>
            </w:pPr>
            <w:r>
              <w:rPr>
                <w:rFonts w:eastAsia="Calibri"/>
                <w:lang w:eastAsia="en-US"/>
              </w:rPr>
              <w:t>0.</w:t>
            </w:r>
            <w:r w:rsidR="00132530">
              <w:rPr>
                <w:rFonts w:eastAsia="Calibri"/>
                <w:lang w:eastAsia="en-US"/>
              </w:rPr>
              <w:t xml:space="preserve">026 </w:t>
            </w:r>
            <w:r>
              <w:rPr>
                <w:rFonts w:eastAsia="Calibri"/>
                <w:lang w:eastAsia="en-US"/>
              </w:rPr>
              <w:t xml:space="preserve">mg/kg </w:t>
            </w:r>
            <w:proofErr w:type="spellStart"/>
            <w:r>
              <w:rPr>
                <w:rFonts w:eastAsia="Calibri"/>
                <w:lang w:eastAsia="en-US"/>
              </w:rPr>
              <w:t>bw</w:t>
            </w:r>
            <w:proofErr w:type="spellEnd"/>
            <w:r>
              <w:rPr>
                <w:rFonts w:eastAsia="Calibri"/>
                <w:lang w:eastAsia="en-US"/>
              </w:rPr>
              <w:t xml:space="preserve">/day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2A04F3A"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B0C35E4" w14:textId="77777777" w:rsidR="00CF59EF" w:rsidRDefault="00CF59EF">
            <w:pPr>
              <w:spacing w:line="260" w:lineRule="atLeast"/>
              <w:rPr>
                <w:rFonts w:eastAsia="Calibri"/>
                <w:lang w:eastAsia="en-US"/>
              </w:rPr>
            </w:pPr>
          </w:p>
          <w:p w14:paraId="1E7C5328" w14:textId="77777777" w:rsidR="00CF59EF" w:rsidRDefault="000B5D37" w:rsidP="00132530">
            <w:pPr>
              <w:spacing w:line="260" w:lineRule="atLeast"/>
              <w:rPr>
                <w:rFonts w:eastAsia="Calibri"/>
                <w:lang w:eastAsia="en-US"/>
              </w:rPr>
            </w:pPr>
            <w:r>
              <w:rPr>
                <w:rFonts w:eastAsia="Calibri"/>
                <w:lang w:eastAsia="en-US"/>
              </w:rPr>
              <w:t>0.</w:t>
            </w:r>
            <w:r w:rsidR="00132530">
              <w:rPr>
                <w:rFonts w:eastAsia="Calibri"/>
                <w:lang w:eastAsia="en-US"/>
              </w:rPr>
              <w:t xml:space="preserve">026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r>
      <w:tr w:rsidR="00CF59EF" w14:paraId="4ECF1D80"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FF0D353" w14:textId="77777777" w:rsidR="00CF59EF" w:rsidRDefault="000B5D37">
            <w:pPr>
              <w:spacing w:line="260" w:lineRule="atLeast"/>
              <w:rPr>
                <w:rFonts w:eastAsia="Calibri"/>
                <w:lang w:eastAsia="en-US"/>
              </w:rPr>
            </w:pPr>
            <w:r>
              <w:rPr>
                <w:rFonts w:eastAsia="Calibri"/>
                <w:lang w:eastAsia="en-US"/>
              </w:rPr>
              <w:t>Scenario 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4E7FE54"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314BAED"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D53EAD8" w14:textId="77777777" w:rsidR="00CF59EF" w:rsidRDefault="000B5D37">
            <w:pPr>
              <w:spacing w:line="260" w:lineRule="atLeast"/>
              <w:rPr>
                <w:rFonts w:eastAsia="Calibri"/>
                <w:lang w:eastAsia="en-US"/>
              </w:rPr>
            </w:pPr>
            <w:r>
              <w:rPr>
                <w:rFonts w:eastAsia="Calibri"/>
                <w:lang w:eastAsia="en-US"/>
              </w:rPr>
              <w:t xml:space="preserve">0.0609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76524A7"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E3BFFBF" w14:textId="77777777" w:rsidR="00CF59EF" w:rsidRDefault="000B5D37">
            <w:pPr>
              <w:spacing w:line="260" w:lineRule="atLeast"/>
              <w:rPr>
                <w:rFonts w:eastAsia="Calibri"/>
                <w:lang w:eastAsia="en-US"/>
              </w:rPr>
            </w:pPr>
            <w:r>
              <w:rPr>
                <w:rFonts w:eastAsia="Calibri"/>
                <w:lang w:eastAsia="en-US"/>
              </w:rPr>
              <w:t xml:space="preserve">0.0609 mg/kg </w:t>
            </w:r>
            <w:proofErr w:type="spellStart"/>
            <w:r>
              <w:rPr>
                <w:rFonts w:eastAsia="Calibri"/>
                <w:lang w:eastAsia="en-US"/>
              </w:rPr>
              <w:t>bw</w:t>
            </w:r>
            <w:proofErr w:type="spellEnd"/>
            <w:r>
              <w:rPr>
                <w:rFonts w:eastAsia="Calibri"/>
                <w:lang w:eastAsia="en-US"/>
              </w:rPr>
              <w:t>/day</w:t>
            </w:r>
          </w:p>
        </w:tc>
      </w:tr>
      <w:tr w:rsidR="00CF59EF" w14:paraId="2AEF8E99"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AAB8C8A" w14:textId="77777777" w:rsidR="00CF59EF" w:rsidRDefault="000B5D37">
            <w:pPr>
              <w:spacing w:line="260" w:lineRule="atLeast"/>
              <w:rPr>
                <w:rFonts w:eastAsia="Calibri"/>
                <w:lang w:eastAsia="en-US"/>
              </w:rPr>
            </w:pPr>
            <w:r>
              <w:rPr>
                <w:rFonts w:eastAsia="Calibri"/>
                <w:lang w:eastAsia="en-US"/>
              </w:rPr>
              <w:t>Scenario 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23B908E"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2256C54"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0B9BD10" w14:textId="77777777"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 xml:space="preserve">081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096F3E5"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174CF1" w14:textId="77777777"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 xml:space="preserve">081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r>
      <w:tr w:rsidR="00CF59EF" w14:paraId="4F8EBD50"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33E48BE" w14:textId="77777777" w:rsidR="00CF59EF" w:rsidRDefault="000B5D37">
            <w:pPr>
              <w:spacing w:line="260" w:lineRule="atLeast"/>
              <w:rPr>
                <w:rFonts w:eastAsia="Calibri"/>
                <w:lang w:eastAsia="en-US"/>
              </w:rPr>
            </w:pPr>
            <w:r>
              <w:rPr>
                <w:rFonts w:eastAsia="Calibri"/>
                <w:lang w:eastAsia="en-US"/>
              </w:rPr>
              <w:t>Scenario 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7796D9A"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86E78DA"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11EF6BF" w14:textId="77777777" w:rsidR="00CF59EF" w:rsidRDefault="000B5D37" w:rsidP="00647482">
            <w:pPr>
              <w:spacing w:line="260" w:lineRule="atLeast"/>
              <w:rPr>
                <w:rFonts w:eastAsia="Calibri"/>
                <w:lang w:eastAsia="en-US"/>
              </w:rPr>
            </w:pPr>
            <w:r>
              <w:rPr>
                <w:rFonts w:eastAsia="Calibri"/>
                <w:lang w:eastAsia="en-US"/>
              </w:rPr>
              <w:t>0.</w:t>
            </w:r>
            <w:r w:rsidR="00647482">
              <w:rPr>
                <w:rFonts w:eastAsia="Calibri"/>
                <w:lang w:eastAsia="en-US"/>
              </w:rPr>
              <w:t>7</w:t>
            </w:r>
            <w:r w:rsidR="00B43817">
              <w:rPr>
                <w:rFonts w:eastAsia="Calibri"/>
                <w:lang w:eastAsia="en-US"/>
              </w:rPr>
              <w:t>2</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BECD606"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7DB9FD0" w14:textId="77777777" w:rsidR="00CF59EF" w:rsidRDefault="000B5D37">
            <w:pPr>
              <w:spacing w:line="260" w:lineRule="atLeast"/>
              <w:rPr>
                <w:rFonts w:eastAsia="Calibri"/>
                <w:lang w:eastAsia="en-US"/>
              </w:rPr>
            </w:pPr>
            <w:r>
              <w:rPr>
                <w:rFonts w:eastAsia="Calibri"/>
                <w:lang w:eastAsia="en-US"/>
              </w:rPr>
              <w:t>0.</w:t>
            </w:r>
            <w:r w:rsidR="00647482">
              <w:rPr>
                <w:rFonts w:eastAsia="Calibri"/>
                <w:lang w:eastAsia="en-US"/>
              </w:rPr>
              <w:t>7</w:t>
            </w:r>
            <w:r w:rsidR="00B43817">
              <w:rPr>
                <w:rFonts w:eastAsia="Calibri"/>
                <w:lang w:eastAsia="en-US"/>
              </w:rPr>
              <w:t>2</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r>
      <w:tr w:rsidR="00CF59EF" w14:paraId="372BFE3C"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2017C3B" w14:textId="77777777" w:rsidR="00CF59EF" w:rsidRDefault="000B5D37">
            <w:pPr>
              <w:spacing w:line="260" w:lineRule="atLeast"/>
              <w:rPr>
                <w:rFonts w:eastAsia="Calibri"/>
                <w:lang w:eastAsia="en-US"/>
              </w:rPr>
            </w:pPr>
            <w:r>
              <w:rPr>
                <w:rFonts w:eastAsia="Calibri"/>
                <w:lang w:eastAsia="en-US"/>
              </w:rPr>
              <w:t>Scenario 11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E07B8EC"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94E3F9B"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9EAD92E" w14:textId="77777777" w:rsidR="006B6453" w:rsidRDefault="006B6453">
            <w:pPr>
              <w:spacing w:line="260" w:lineRule="atLeast"/>
              <w:rPr>
                <w:rFonts w:eastAsia="Calibri"/>
                <w:lang w:eastAsia="en-US"/>
              </w:rPr>
            </w:pPr>
          </w:p>
          <w:p w14:paraId="619A7235" w14:textId="77777777" w:rsidR="006B6453" w:rsidRDefault="006B6453">
            <w:pPr>
              <w:spacing w:line="260" w:lineRule="atLeast"/>
              <w:rPr>
                <w:rFonts w:eastAsia="Calibri"/>
                <w:lang w:eastAsia="en-US"/>
              </w:rPr>
            </w:pPr>
            <w:r>
              <w:rPr>
                <w:rFonts w:eastAsia="Calibri"/>
                <w:lang w:eastAsia="en-US"/>
              </w:rPr>
              <w:t xml:space="preserve">1.24 mg/kg </w:t>
            </w:r>
            <w:proofErr w:type="spellStart"/>
            <w:r>
              <w:rPr>
                <w:rFonts w:eastAsia="Calibri"/>
                <w:lang w:eastAsia="en-US"/>
              </w:rPr>
              <w:t>bw</w:t>
            </w:r>
            <w:proofErr w:type="spellEnd"/>
            <w:r>
              <w:rPr>
                <w:rFonts w:eastAsia="Calibri"/>
                <w:lang w:eastAsia="en-US"/>
              </w:rPr>
              <w:t>/day (toddler)</w:t>
            </w:r>
          </w:p>
          <w:p w14:paraId="7D1C3371" w14:textId="77777777" w:rsidR="006B6453" w:rsidRDefault="006B6453">
            <w:pPr>
              <w:spacing w:line="260" w:lineRule="atLeast"/>
              <w:rPr>
                <w:rFonts w:eastAsia="Calibri"/>
                <w:lang w:eastAsia="en-US"/>
              </w:rPr>
            </w:pPr>
          </w:p>
          <w:p w14:paraId="3DEE6E3C" w14:textId="77777777" w:rsidR="00CF59EF" w:rsidRDefault="002738FF">
            <w:pPr>
              <w:spacing w:line="260" w:lineRule="atLeast"/>
              <w:rPr>
                <w:rFonts w:eastAsia="Calibri"/>
                <w:lang w:eastAsia="en-US"/>
              </w:rPr>
            </w:pPr>
            <w:r>
              <w:rPr>
                <w:rFonts w:eastAsia="Calibri"/>
                <w:lang w:eastAsia="en-US"/>
              </w:rPr>
              <w:t>1.33</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r w:rsidR="006B6453">
              <w:rPr>
                <w:rFonts w:eastAsia="Calibri"/>
                <w:lang w:eastAsia="en-US"/>
              </w:rPr>
              <w:t xml:space="preserve"> (infant)</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F07DB1F" w14:textId="77777777"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B6E209B" w14:textId="77777777" w:rsidR="006B6453" w:rsidRDefault="006B6453" w:rsidP="006B6453">
            <w:pPr>
              <w:spacing w:line="260" w:lineRule="atLeast"/>
              <w:rPr>
                <w:rFonts w:eastAsia="Calibri"/>
                <w:lang w:eastAsia="en-US"/>
              </w:rPr>
            </w:pPr>
            <w:r>
              <w:rPr>
                <w:rFonts w:eastAsia="Calibri"/>
                <w:lang w:eastAsia="en-US"/>
              </w:rPr>
              <w:t xml:space="preserve">1.24 mg/kg </w:t>
            </w:r>
            <w:proofErr w:type="spellStart"/>
            <w:r>
              <w:rPr>
                <w:rFonts w:eastAsia="Calibri"/>
                <w:lang w:eastAsia="en-US"/>
              </w:rPr>
              <w:t>bw</w:t>
            </w:r>
            <w:proofErr w:type="spellEnd"/>
            <w:r>
              <w:rPr>
                <w:rFonts w:eastAsia="Calibri"/>
                <w:lang w:eastAsia="en-US"/>
              </w:rPr>
              <w:t>/day (toddler)</w:t>
            </w:r>
          </w:p>
          <w:p w14:paraId="7AE5CD52" w14:textId="77777777" w:rsidR="006B6453" w:rsidRDefault="006B6453">
            <w:pPr>
              <w:spacing w:line="260" w:lineRule="atLeast"/>
              <w:rPr>
                <w:rFonts w:eastAsia="Calibri"/>
                <w:lang w:eastAsia="en-US"/>
              </w:rPr>
            </w:pPr>
          </w:p>
          <w:p w14:paraId="5D02BC19" w14:textId="77777777" w:rsidR="006B6453" w:rsidRDefault="006B6453">
            <w:pPr>
              <w:spacing w:line="260" w:lineRule="atLeast"/>
              <w:rPr>
                <w:rFonts w:eastAsia="Calibri"/>
                <w:lang w:eastAsia="en-US"/>
              </w:rPr>
            </w:pPr>
          </w:p>
          <w:p w14:paraId="4CF6E7EB" w14:textId="77777777" w:rsidR="00CF59EF" w:rsidRDefault="002738FF">
            <w:pPr>
              <w:spacing w:line="260" w:lineRule="atLeast"/>
              <w:rPr>
                <w:rFonts w:eastAsia="Calibri"/>
                <w:lang w:eastAsia="en-US"/>
              </w:rPr>
            </w:pPr>
            <w:r>
              <w:rPr>
                <w:rFonts w:eastAsia="Calibri"/>
                <w:lang w:eastAsia="en-US"/>
              </w:rPr>
              <w:t>1.33</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r w:rsidR="006B6453">
              <w:rPr>
                <w:rFonts w:eastAsia="Calibri"/>
                <w:lang w:eastAsia="en-US"/>
              </w:rPr>
              <w:t xml:space="preserve"> (infant)</w:t>
            </w:r>
          </w:p>
        </w:tc>
      </w:tr>
      <w:tr w:rsidR="00CF59EF" w14:paraId="225414F7"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DC511CC" w14:textId="77777777" w:rsidR="00CF59EF" w:rsidRDefault="000B5D37">
            <w:pPr>
              <w:spacing w:line="260" w:lineRule="atLeast"/>
              <w:rPr>
                <w:rFonts w:eastAsia="Calibri"/>
                <w:lang w:eastAsia="en-US"/>
              </w:rPr>
            </w:pPr>
            <w:r>
              <w:rPr>
                <w:rFonts w:eastAsia="Calibri"/>
                <w:lang w:eastAsia="en-US"/>
              </w:rPr>
              <w:t>Scenario 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C489C51"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8A1CE22"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26DA7D2" w14:textId="77777777" w:rsidR="00CF59EF" w:rsidRDefault="000B5D37">
            <w:pPr>
              <w:spacing w:line="260" w:lineRule="atLeast"/>
              <w:rPr>
                <w:rFonts w:eastAsia="Calibri"/>
                <w:lang w:eastAsia="en-US"/>
              </w:rPr>
            </w:pPr>
            <w:r>
              <w:rPr>
                <w:rFonts w:eastAsia="Calibri"/>
                <w:lang w:eastAsia="en-US"/>
              </w:rPr>
              <w:t>Negligible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3CC0958" w14:textId="77777777"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8F3794" w14:textId="77777777"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r>
      <w:tr w:rsidR="00CF59EF" w14:paraId="0E259728"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B5064D" w14:textId="77777777" w:rsidR="00CF59EF" w:rsidRDefault="000B5D37">
            <w:pPr>
              <w:spacing w:line="260" w:lineRule="atLeast"/>
              <w:rPr>
                <w:rFonts w:eastAsia="Calibri"/>
                <w:lang w:eastAsia="en-US"/>
              </w:rPr>
            </w:pPr>
            <w:r>
              <w:rPr>
                <w:rFonts w:eastAsia="Calibri"/>
                <w:lang w:eastAsia="en-US"/>
              </w:rPr>
              <w:t>Scenario 13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1BF5EC9" w14:textId="77777777"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5A4224E" w14:textId="77777777"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4C4E9A4" w14:textId="77777777" w:rsidR="00CF59EF" w:rsidRDefault="000B5D37">
            <w:pPr>
              <w:spacing w:line="260" w:lineRule="atLeast"/>
              <w:rPr>
                <w:rFonts w:eastAsia="Calibri"/>
                <w:lang w:eastAsia="en-US"/>
              </w:rPr>
            </w:pPr>
            <w:r>
              <w:rPr>
                <w:rFonts w:eastAsia="Calibri"/>
                <w:lang w:eastAsia="en-US"/>
              </w:rPr>
              <w:t>Negligible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1443A94" w14:textId="77777777" w:rsidR="00CF59EF" w:rsidRDefault="000B5D37" w:rsidP="00107787">
            <w:pPr>
              <w:spacing w:line="260" w:lineRule="atLeast"/>
              <w:rPr>
                <w:rFonts w:eastAsia="Calibri"/>
                <w:lang w:eastAsia="en-US"/>
              </w:rPr>
            </w:pPr>
            <w:r>
              <w:rPr>
                <w:rFonts w:eastAsia="Calibri"/>
                <w:lang w:eastAsia="en-US"/>
              </w:rPr>
              <w:t xml:space="preserve">0.0105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1881F4C" w14:textId="77777777" w:rsidR="00CF59EF" w:rsidRDefault="000B5D37" w:rsidP="00107787">
            <w:pPr>
              <w:spacing w:line="260" w:lineRule="atLeast"/>
              <w:rPr>
                <w:rFonts w:eastAsia="Calibri"/>
                <w:lang w:eastAsia="en-US"/>
              </w:rPr>
            </w:pPr>
            <w:r>
              <w:rPr>
                <w:rFonts w:eastAsia="Calibri"/>
                <w:lang w:eastAsia="en-US"/>
              </w:rPr>
              <w:t xml:space="preserve">0.0105 mg/kg </w:t>
            </w:r>
            <w:proofErr w:type="spellStart"/>
            <w:r>
              <w:rPr>
                <w:rFonts w:eastAsia="Calibri"/>
                <w:lang w:eastAsia="en-US"/>
              </w:rPr>
              <w:t>bw</w:t>
            </w:r>
            <w:proofErr w:type="spellEnd"/>
            <w:r>
              <w:rPr>
                <w:rFonts w:eastAsia="Calibri"/>
                <w:lang w:eastAsia="en-US"/>
              </w:rPr>
              <w:t>/day</w:t>
            </w:r>
          </w:p>
        </w:tc>
      </w:tr>
      <w:tr w:rsidR="00E64D74" w14:paraId="07DE5FDA" w14:textId="77777777"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324866A" w14:textId="77777777" w:rsidR="00E64D74" w:rsidRDefault="00E64D74">
            <w:pPr>
              <w:spacing w:line="260" w:lineRule="atLeast"/>
              <w:rPr>
                <w:rFonts w:eastAsia="Calibri"/>
                <w:lang w:eastAsia="en-US"/>
              </w:rPr>
            </w:pPr>
            <w:r>
              <w:rPr>
                <w:rFonts w:eastAsia="Calibri"/>
                <w:lang w:eastAsia="en-US"/>
              </w:rPr>
              <w:t>Scenario 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B4562C8" w14:textId="77777777" w:rsidR="00E64D74" w:rsidRDefault="00E64D74">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EB5710" w14:textId="77777777" w:rsidR="00E64D74" w:rsidRDefault="00E64D74">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277FACC" w14:textId="77777777" w:rsidR="00E64D74" w:rsidRDefault="00E64D74">
            <w:pPr>
              <w:spacing w:line="260" w:lineRule="atLeast"/>
              <w:rPr>
                <w:rFonts w:eastAsia="Calibri"/>
                <w:lang w:eastAsia="en-US"/>
              </w:rPr>
            </w:pPr>
            <w:r>
              <w:rPr>
                <w:rFonts w:eastAsia="Calibri"/>
                <w:lang w:eastAsia="en-US"/>
              </w:rPr>
              <w:t xml:space="preserve">0.24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FDD32DC" w14:textId="77777777" w:rsidR="00E64D74" w:rsidRDefault="00E64D74">
            <w:pPr>
              <w:spacing w:line="260" w:lineRule="atLeast"/>
              <w:rPr>
                <w:rFonts w:eastAsia="Calibri"/>
                <w:lang w:eastAsia="en-US"/>
              </w:rPr>
            </w:pPr>
            <w:r>
              <w:rPr>
                <w:rFonts w:eastAsia="Calibri"/>
                <w:lang w:eastAsia="en-US"/>
              </w:rPr>
              <w:t xml:space="preserve">0.04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3F4F817" w14:textId="77777777" w:rsidR="00E64D74" w:rsidRDefault="00E64D74">
            <w:pPr>
              <w:spacing w:line="260" w:lineRule="atLeast"/>
              <w:rPr>
                <w:rFonts w:eastAsia="Calibri"/>
                <w:lang w:eastAsia="en-US"/>
              </w:rPr>
            </w:pPr>
            <w:r>
              <w:rPr>
                <w:rFonts w:eastAsia="Calibri"/>
                <w:lang w:eastAsia="en-US"/>
              </w:rPr>
              <w:t xml:space="preserve">0.28 mg/kg </w:t>
            </w:r>
            <w:proofErr w:type="spellStart"/>
            <w:r>
              <w:rPr>
                <w:rFonts w:eastAsia="Calibri"/>
                <w:lang w:eastAsia="en-US"/>
              </w:rPr>
              <w:t>bw</w:t>
            </w:r>
            <w:proofErr w:type="spellEnd"/>
            <w:r>
              <w:rPr>
                <w:rFonts w:eastAsia="Calibri"/>
                <w:lang w:eastAsia="en-US"/>
              </w:rPr>
              <w:t>/day</w:t>
            </w:r>
          </w:p>
        </w:tc>
      </w:tr>
    </w:tbl>
    <w:p w14:paraId="790FEB55" w14:textId="77777777"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14:paraId="72C42478" w14:textId="77777777" w:rsidR="00CF59EF" w:rsidRDefault="00CF59EF">
      <w:pPr>
        <w:spacing w:line="260" w:lineRule="atLeast"/>
        <w:rPr>
          <w:rFonts w:eastAsia="Calibri"/>
          <w:lang w:eastAsia="en-US"/>
        </w:rPr>
      </w:pPr>
    </w:p>
    <w:p w14:paraId="69B814E4" w14:textId="77777777" w:rsidR="00CF59EF" w:rsidRDefault="000B5D37">
      <w:pPr>
        <w:rPr>
          <w:rFonts w:eastAsia="Calibri"/>
          <w:i/>
          <w:sz w:val="22"/>
          <w:szCs w:val="22"/>
          <w:u w:val="single"/>
          <w:lang w:eastAsia="en-US"/>
        </w:rPr>
      </w:pPr>
      <w:bookmarkStart w:id="1501" w:name="_Toc389729075"/>
      <w:bookmarkEnd w:id="1501"/>
      <w:r>
        <w:rPr>
          <w:rFonts w:eastAsia="Calibri"/>
          <w:i/>
          <w:sz w:val="22"/>
          <w:szCs w:val="22"/>
          <w:u w:val="single"/>
          <w:lang w:eastAsia="en-US"/>
        </w:rPr>
        <w:t>Combined scenarios</w:t>
      </w:r>
    </w:p>
    <w:p w14:paraId="56064E10" w14:textId="77777777" w:rsidR="00CF59EF" w:rsidRDefault="00CF59EF">
      <w:pPr>
        <w:spacing w:line="260" w:lineRule="atLeast"/>
        <w:rPr>
          <w:rFonts w:eastAsia="Calibri"/>
          <w:lang w:eastAsia="en-US"/>
        </w:rPr>
      </w:pPr>
    </w:p>
    <w:p w14:paraId="4AED907B" w14:textId="77777777" w:rsidR="00CF59EF" w:rsidRDefault="000B5D37">
      <w:pPr>
        <w:spacing w:line="260" w:lineRule="atLeast"/>
        <w:rPr>
          <w:rFonts w:eastAsia="Calibri"/>
          <w:lang w:eastAsia="en-US"/>
        </w:rPr>
      </w:pPr>
      <w:r>
        <w:rPr>
          <w:rFonts w:eastAsia="Calibri"/>
          <w:lang w:eastAsia="en-US"/>
        </w:rPr>
        <w:lastRenderedPageBreak/>
        <w:t xml:space="preserve">It is assumed that the consumer can be exposed via all described exposure scenarios. Therefore a total combined systemic exposure for general public from all exposure scenarios has been calculated. </w:t>
      </w:r>
    </w:p>
    <w:p w14:paraId="16CCA244" w14:textId="77777777" w:rsidR="00CF59EF" w:rsidRDefault="000B5D37">
      <w:pPr>
        <w:spacing w:line="260" w:lineRule="atLeast"/>
        <w:rPr>
          <w:rFonts w:eastAsia="Calibri"/>
          <w:lang w:eastAsia="en-US"/>
        </w:rPr>
      </w:pPr>
      <w:r>
        <w:rPr>
          <w:rFonts w:eastAsia="Calibri"/>
          <w:lang w:eastAsia="en-US"/>
        </w:rPr>
        <w:t xml:space="preserve">Furthermore, the combined exposure for a </w:t>
      </w:r>
      <w:r w:rsidR="00B25C64">
        <w:rPr>
          <w:rFonts w:eastAsia="Calibri"/>
          <w:lang w:eastAsia="en-US"/>
        </w:rPr>
        <w:t xml:space="preserve">toddler </w:t>
      </w:r>
      <w:r>
        <w:rPr>
          <w:rFonts w:eastAsia="Calibri"/>
          <w:lang w:eastAsia="en-US"/>
        </w:rPr>
        <w:t>from exposure to residues in laundered clothes</w:t>
      </w:r>
      <w:r w:rsidR="00B25C64">
        <w:rPr>
          <w:rFonts w:eastAsia="Calibri"/>
          <w:lang w:eastAsia="en-US"/>
        </w:rPr>
        <w:t>,</w:t>
      </w:r>
      <w:r>
        <w:rPr>
          <w:rFonts w:eastAsia="Calibri"/>
          <w:lang w:eastAsia="en-US"/>
        </w:rPr>
        <w:t xml:space="preserve"> residues on the washed dinnerware</w:t>
      </w:r>
      <w:r w:rsidR="00B25C64">
        <w:rPr>
          <w:rFonts w:eastAsia="Calibri"/>
          <w:lang w:eastAsia="en-US"/>
        </w:rPr>
        <w:t xml:space="preserve"> and via cleaned surface</w:t>
      </w:r>
      <w:r>
        <w:rPr>
          <w:rFonts w:eastAsia="Calibri"/>
          <w:lang w:eastAsia="en-US"/>
        </w:rPr>
        <w:t xml:space="preserve"> has been calculated. </w:t>
      </w:r>
    </w:p>
    <w:p w14:paraId="4379CD8A" w14:textId="77777777"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CF59EF" w14:paraId="4A87A094" w14:textId="77777777">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32CF01DF" w14:textId="77777777" w:rsidR="00CF59EF" w:rsidRDefault="000B5D37">
            <w:pPr>
              <w:spacing w:line="260" w:lineRule="atLeast"/>
              <w:jc w:val="center"/>
              <w:rPr>
                <w:rFonts w:eastAsia="Calibri"/>
                <w:b/>
                <w:lang w:eastAsia="en-US"/>
              </w:rPr>
            </w:pPr>
            <w:r>
              <w:rPr>
                <w:rFonts w:eastAsia="Calibri"/>
                <w:b/>
                <w:lang w:eastAsia="en-US"/>
              </w:rPr>
              <w:t>Summary table: combined systemic exposure from non-professional uses</w:t>
            </w:r>
          </w:p>
        </w:tc>
      </w:tr>
      <w:tr w:rsidR="00CF59EF" w14:paraId="487433E9" w14:textId="7777777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0281C11" w14:textId="77777777" w:rsidR="00CF59EF" w:rsidRDefault="000B5D3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DC98AE6" w14:textId="77777777" w:rsidR="00CF59EF" w:rsidRDefault="000B5D3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7E2616A" w14:textId="77777777" w:rsidR="00CF59EF" w:rsidRDefault="000B5D3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2BFDA67" w14:textId="77777777" w:rsidR="00CF59EF" w:rsidRDefault="000B5D3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52A726B" w14:textId="77777777" w:rsidR="00CF59EF" w:rsidRDefault="000B5D37">
            <w:pPr>
              <w:spacing w:line="260" w:lineRule="atLeast"/>
              <w:rPr>
                <w:rFonts w:eastAsia="Calibri"/>
                <w:b/>
                <w:lang w:eastAsia="en-US"/>
              </w:rPr>
            </w:pPr>
            <w:r>
              <w:rPr>
                <w:rFonts w:eastAsia="Calibri"/>
                <w:b/>
                <w:lang w:eastAsia="en-US"/>
              </w:rPr>
              <w:t>Estimated total uptake*</w:t>
            </w:r>
          </w:p>
        </w:tc>
      </w:tr>
      <w:tr w:rsidR="00CF59EF" w14:paraId="22E223CB" w14:textId="7777777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CF83E99" w14:textId="77777777" w:rsidR="00CF59EF" w:rsidRDefault="000B5D37">
            <w:pPr>
              <w:spacing w:line="260" w:lineRule="atLeast"/>
              <w:rPr>
                <w:rFonts w:eastAsia="Calibri"/>
                <w:lang w:eastAsia="en-US"/>
              </w:rPr>
            </w:pPr>
            <w:r>
              <w:rPr>
                <w:rFonts w:eastAsia="Calibri"/>
                <w:lang w:eastAsia="en-US"/>
              </w:rPr>
              <w:t>Scenarios 7, 8, 9, 10, 12</w:t>
            </w:r>
            <w:r w:rsidR="00E64D74">
              <w:rPr>
                <w:rFonts w:eastAsia="Calibri"/>
                <w:lang w:eastAsia="en-US"/>
              </w:rPr>
              <w:t xml:space="preserve">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A863BF6" w14:textId="77777777" w:rsidR="00CF59EF" w:rsidRDefault="000B5D37">
            <w:pPr>
              <w:spacing w:line="260" w:lineRule="atLeast"/>
              <w:rPr>
                <w:rFonts w:eastAsia="Calibri"/>
                <w:lang w:eastAsia="en-US"/>
              </w:rPr>
            </w:pPr>
            <w:r>
              <w:rPr>
                <w:rFonts w:eastAsia="Calibri"/>
                <w:lang w:eastAsia="en-US"/>
              </w:rPr>
              <w:t>Negligible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AB7380B" w14:textId="77777777" w:rsidR="00CF59EF" w:rsidRDefault="000B5D37" w:rsidP="00132530">
            <w:pPr>
              <w:spacing w:line="260" w:lineRule="atLeast"/>
              <w:rPr>
                <w:rFonts w:eastAsia="Calibri"/>
                <w:lang w:eastAsia="en-US"/>
              </w:rPr>
            </w:pPr>
            <w:r>
              <w:rPr>
                <w:rFonts w:eastAsia="Calibri"/>
                <w:lang w:eastAsia="en-US"/>
              </w:rPr>
              <w:t>0.</w:t>
            </w:r>
            <w:r w:rsidR="00BC5238">
              <w:rPr>
                <w:rFonts w:eastAsia="Calibri"/>
                <w:lang w:eastAsia="en-US"/>
              </w:rPr>
              <w:t>8</w:t>
            </w:r>
            <w:r w:rsidR="00132530">
              <w:rPr>
                <w:rFonts w:eastAsia="Calibri"/>
                <w:lang w:eastAsia="en-US"/>
              </w:rPr>
              <w:t>88</w:t>
            </w:r>
            <w:r w:rsidR="00BC5238">
              <w:rPr>
                <w:rFonts w:eastAsia="Calibri"/>
                <w:lang w:eastAsia="en-US"/>
              </w:rPr>
              <w:t xml:space="preserve">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1EDB226" w14:textId="77777777"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6D81F78" w14:textId="77777777" w:rsidR="00CF59EF" w:rsidRDefault="000B5D37">
            <w:pPr>
              <w:spacing w:line="260" w:lineRule="atLeast"/>
              <w:rPr>
                <w:rFonts w:eastAsia="Calibri"/>
                <w:lang w:eastAsia="en-US"/>
              </w:rPr>
            </w:pPr>
            <w:r>
              <w:rPr>
                <w:rFonts w:eastAsia="Calibri"/>
                <w:lang w:eastAsia="en-US"/>
              </w:rPr>
              <w:t>0.</w:t>
            </w:r>
            <w:r w:rsidR="00BC5238">
              <w:rPr>
                <w:rFonts w:eastAsia="Calibri"/>
                <w:lang w:eastAsia="en-US"/>
              </w:rPr>
              <w:t>8</w:t>
            </w:r>
            <w:r w:rsidR="00107787">
              <w:rPr>
                <w:rFonts w:eastAsia="Calibri"/>
                <w:lang w:eastAsia="en-US"/>
              </w:rPr>
              <w:t>90</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p w14:paraId="7C3BF2E5" w14:textId="77777777" w:rsidR="00CF59EF" w:rsidRDefault="00CF59EF">
            <w:pPr>
              <w:spacing w:line="260" w:lineRule="atLeast"/>
              <w:rPr>
                <w:rFonts w:eastAsia="Calibri"/>
                <w:lang w:eastAsia="en-US"/>
              </w:rPr>
            </w:pPr>
          </w:p>
        </w:tc>
      </w:tr>
      <w:tr w:rsidR="00CF59EF" w14:paraId="491D7474" w14:textId="7777777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883EC1A" w14:textId="77777777" w:rsidR="00CF59EF" w:rsidRDefault="000B5D37" w:rsidP="00E64D74">
            <w:pPr>
              <w:spacing w:line="260" w:lineRule="atLeast"/>
              <w:rPr>
                <w:rFonts w:eastAsia="Calibri"/>
                <w:lang w:eastAsia="en-US"/>
              </w:rPr>
            </w:pPr>
            <w:r>
              <w:rPr>
                <w:rFonts w:eastAsia="Calibri"/>
                <w:lang w:eastAsia="en-US"/>
              </w:rPr>
              <w:t>Scenarios 11, 13</w:t>
            </w:r>
            <w:r w:rsidR="00E64D74">
              <w:rPr>
                <w:rFonts w:eastAsia="Calibri"/>
                <w:lang w:eastAsia="en-US"/>
              </w:rPr>
              <w:t>, 15</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805749D" w14:textId="77777777" w:rsidR="00CF59EF" w:rsidRDefault="000B5D37">
            <w:pPr>
              <w:spacing w:line="260" w:lineRule="atLeast"/>
              <w:rPr>
                <w:rFonts w:eastAsia="Calibri"/>
                <w:lang w:eastAsia="en-US"/>
              </w:rPr>
            </w:pPr>
            <w:r>
              <w:rPr>
                <w:rFonts w:eastAsia="Calibri"/>
                <w:lang w:eastAsia="en-US"/>
              </w:rPr>
              <w:t>Negligible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4579CB3" w14:textId="77777777" w:rsidR="00CF59EF" w:rsidRDefault="00C37D4D" w:rsidP="006B6453">
            <w:pPr>
              <w:spacing w:line="260" w:lineRule="atLeast"/>
              <w:rPr>
                <w:rFonts w:eastAsia="Calibri"/>
                <w:lang w:eastAsia="en-US"/>
              </w:rPr>
            </w:pPr>
            <w:r>
              <w:rPr>
                <w:rFonts w:eastAsia="Calibri"/>
                <w:iCs/>
                <w:lang w:eastAsia="en-US"/>
              </w:rPr>
              <w:t>1.</w:t>
            </w:r>
            <w:r w:rsidR="006B6453">
              <w:rPr>
                <w:rFonts w:eastAsia="Calibri"/>
                <w:iCs/>
                <w:lang w:eastAsia="en-US"/>
              </w:rPr>
              <w:t>48</w:t>
            </w:r>
            <w:r w:rsidR="00E64D74">
              <w:rPr>
                <w:rFonts w:eastAsia="Calibri"/>
                <w:iCs/>
                <w:lang w:eastAsia="en-US"/>
              </w:rPr>
              <w:t xml:space="preserve"> </w:t>
            </w:r>
            <w:r w:rsidR="000B5D37">
              <w:rPr>
                <w:rFonts w:eastAsia="Calibri"/>
                <w:iCs/>
                <w:lang w:eastAsia="en-US"/>
              </w:rPr>
              <w:t xml:space="preserve">mg/kg </w:t>
            </w:r>
            <w:proofErr w:type="spellStart"/>
            <w:r w:rsidR="000B5D37">
              <w:rPr>
                <w:rFonts w:eastAsia="Calibri"/>
                <w:iCs/>
                <w:lang w:eastAsia="en-US"/>
              </w:rPr>
              <w:t>bw</w:t>
            </w:r>
            <w:proofErr w:type="spellEnd"/>
            <w:r w:rsidR="000B5D37">
              <w:rPr>
                <w:rFonts w:eastAsia="Calibri"/>
                <w:iCs/>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0236DED" w14:textId="77777777" w:rsidR="00CF59EF" w:rsidRDefault="000B5D37" w:rsidP="00107787">
            <w:pPr>
              <w:spacing w:line="260" w:lineRule="atLeast"/>
              <w:rPr>
                <w:rFonts w:eastAsia="Calibri"/>
                <w:lang w:eastAsia="en-US"/>
              </w:rPr>
            </w:pPr>
            <w:r>
              <w:rPr>
                <w:rFonts w:eastAsia="Calibri"/>
                <w:lang w:eastAsia="en-US"/>
              </w:rPr>
              <w:t>0.</w:t>
            </w:r>
            <w:r w:rsidR="00E64D74">
              <w:rPr>
                <w:rFonts w:eastAsia="Calibri"/>
                <w:lang w:eastAsia="en-US"/>
              </w:rPr>
              <w:t>0</w:t>
            </w:r>
            <w:r w:rsidR="00107787">
              <w:rPr>
                <w:rFonts w:eastAsia="Calibri"/>
                <w:lang w:eastAsia="en-US"/>
              </w:rPr>
              <w:t>505</w:t>
            </w:r>
            <w:r w:rsidR="00E64D74">
              <w:rPr>
                <w:rFonts w:eastAsia="Calibri"/>
                <w:lang w:eastAsia="en-US"/>
              </w:rPr>
              <w:t xml:space="preserve">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3CC9FB" w14:textId="77777777" w:rsidR="00CF59EF" w:rsidRDefault="00C37D4D" w:rsidP="006B6453">
            <w:pPr>
              <w:spacing w:line="260" w:lineRule="atLeast"/>
              <w:rPr>
                <w:rFonts w:eastAsia="Calibri"/>
                <w:lang w:eastAsia="en-US"/>
              </w:rPr>
            </w:pPr>
            <w:r>
              <w:rPr>
                <w:rFonts w:eastAsia="Calibri"/>
                <w:lang w:eastAsia="en-US"/>
              </w:rPr>
              <w:t>1.</w:t>
            </w:r>
            <w:r w:rsidR="006B6453">
              <w:rPr>
                <w:rFonts w:eastAsia="Calibri"/>
                <w:lang w:eastAsia="en-US"/>
              </w:rPr>
              <w:t>53</w:t>
            </w:r>
            <w:r w:rsidR="00E64D74">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bl>
    <w:p w14:paraId="0A0970EB" w14:textId="77777777"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14:paraId="273D94A1" w14:textId="77777777" w:rsidR="00CF59EF" w:rsidRDefault="00CF59EF">
      <w:pPr>
        <w:spacing w:line="260" w:lineRule="atLeast"/>
        <w:rPr>
          <w:rFonts w:eastAsia="Calibri"/>
          <w:i/>
          <w:iCs/>
          <w:sz w:val="18"/>
          <w:lang w:eastAsia="en-US"/>
        </w:rPr>
      </w:pPr>
    </w:p>
    <w:p w14:paraId="007BB33E" w14:textId="77777777" w:rsidR="0022193E" w:rsidRDefault="0022193E">
      <w:pPr>
        <w:spacing w:line="260" w:lineRule="atLeast"/>
        <w:rPr>
          <w:rFonts w:eastAsia="Calibri"/>
          <w:iCs/>
          <w:sz w:val="18"/>
          <w:lang w:eastAsia="en-US"/>
        </w:rPr>
      </w:pPr>
      <w:r w:rsidRPr="0022193E">
        <w:rPr>
          <w:rFonts w:eastAsia="Calibri"/>
          <w:iCs/>
          <w:sz w:val="18"/>
          <w:lang w:eastAsia="en-US"/>
        </w:rPr>
        <w:t>Furthermore, industrial</w:t>
      </w:r>
      <w:r>
        <w:rPr>
          <w:rFonts w:eastAsia="Calibri"/>
          <w:iCs/>
          <w:sz w:val="18"/>
          <w:lang w:eastAsia="en-US"/>
        </w:rPr>
        <w:t xml:space="preserve"> </w:t>
      </w:r>
      <w:r w:rsidR="004248D6">
        <w:rPr>
          <w:rFonts w:eastAsia="Calibri"/>
          <w:iCs/>
          <w:sz w:val="18"/>
          <w:lang w:eastAsia="en-US"/>
        </w:rPr>
        <w:t>or</w:t>
      </w:r>
      <w:r>
        <w:rPr>
          <w:rFonts w:eastAsia="Calibri"/>
          <w:iCs/>
          <w:sz w:val="18"/>
          <w:lang w:eastAsia="en-US"/>
        </w:rPr>
        <w:t xml:space="preserve"> professional users </w:t>
      </w:r>
      <w:r w:rsidR="004248D6">
        <w:rPr>
          <w:rFonts w:eastAsia="Calibri"/>
          <w:iCs/>
          <w:sz w:val="18"/>
          <w:lang w:eastAsia="en-US"/>
        </w:rPr>
        <w:t xml:space="preserve">of </w:t>
      </w:r>
      <w:r w:rsidR="00107787">
        <w:rPr>
          <w:rFonts w:eastAsia="Calibri"/>
          <w:iCs/>
          <w:sz w:val="18"/>
          <w:lang w:eastAsia="en-US"/>
        </w:rPr>
        <w:t>the biocidal product</w:t>
      </w:r>
      <w:r w:rsidR="004248D6">
        <w:rPr>
          <w:rFonts w:eastAsia="Calibri"/>
          <w:iCs/>
          <w:sz w:val="18"/>
          <w:lang w:eastAsia="en-US"/>
        </w:rPr>
        <w:t xml:space="preserve"> </w:t>
      </w:r>
      <w:r>
        <w:rPr>
          <w:rFonts w:eastAsia="Calibri"/>
          <w:iCs/>
          <w:sz w:val="18"/>
          <w:lang w:eastAsia="en-US"/>
        </w:rPr>
        <w:t xml:space="preserve">may also be exposed to </w:t>
      </w:r>
      <w:r w:rsidR="00107787">
        <w:rPr>
          <w:rFonts w:eastAsia="Calibri"/>
          <w:iCs/>
          <w:sz w:val="18"/>
          <w:lang w:eastAsia="en-US"/>
        </w:rPr>
        <w:t>products</w:t>
      </w:r>
      <w:r w:rsidR="004248D6">
        <w:rPr>
          <w:rFonts w:eastAsia="Calibri"/>
          <w:iCs/>
          <w:sz w:val="18"/>
          <w:lang w:eastAsia="en-US"/>
        </w:rPr>
        <w:t xml:space="preserve"> preserved with </w:t>
      </w:r>
      <w:r w:rsidR="00107787">
        <w:rPr>
          <w:rFonts w:eastAsia="Calibri"/>
          <w:iCs/>
          <w:sz w:val="18"/>
          <w:lang w:eastAsia="en-US"/>
        </w:rPr>
        <w:t>sodium benzoate</w:t>
      </w:r>
      <w:r>
        <w:rPr>
          <w:rFonts w:eastAsia="Calibri"/>
          <w:iCs/>
          <w:sz w:val="18"/>
          <w:lang w:eastAsia="en-US"/>
        </w:rPr>
        <w:t xml:space="preserve"> as consumers. Such worst case </w:t>
      </w:r>
      <w:r w:rsidR="004248D6">
        <w:rPr>
          <w:rFonts w:eastAsia="Calibri"/>
          <w:iCs/>
          <w:sz w:val="18"/>
          <w:lang w:eastAsia="en-US"/>
        </w:rPr>
        <w:t xml:space="preserve">combined </w:t>
      </w:r>
      <w:r>
        <w:rPr>
          <w:rFonts w:eastAsia="Calibri"/>
          <w:iCs/>
          <w:sz w:val="18"/>
          <w:lang w:eastAsia="en-US"/>
        </w:rPr>
        <w:t>exposure for adults is calculated and presented in the table below.</w:t>
      </w:r>
    </w:p>
    <w:p w14:paraId="24980154" w14:textId="77777777" w:rsidR="0022193E" w:rsidRPr="0022193E" w:rsidRDefault="0022193E">
      <w:pPr>
        <w:spacing w:line="260" w:lineRule="atLeast"/>
        <w:rPr>
          <w:rFonts w:eastAsia="Calibri"/>
          <w:iCs/>
          <w:sz w:val="18"/>
          <w:lang w:eastAsia="en-US"/>
        </w:rPr>
      </w:pPr>
      <w:r>
        <w:rPr>
          <w:rFonts w:eastAsia="Calibri"/>
          <w:iCs/>
          <w:sz w:val="18"/>
          <w:lang w:eastAsia="en-US"/>
        </w:rPr>
        <w:t xml:space="preserve"> </w:t>
      </w: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22193E" w14:paraId="6C6740BB" w14:textId="77777777" w:rsidTr="00107787">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7677C902" w14:textId="77777777" w:rsidR="0022193E" w:rsidRDefault="0022193E" w:rsidP="004248D6">
            <w:pPr>
              <w:spacing w:line="260" w:lineRule="atLeast"/>
              <w:jc w:val="center"/>
              <w:rPr>
                <w:rFonts w:eastAsia="Calibri"/>
                <w:b/>
                <w:lang w:eastAsia="en-US"/>
              </w:rPr>
            </w:pPr>
            <w:r>
              <w:rPr>
                <w:rFonts w:eastAsia="Calibri"/>
                <w:b/>
                <w:lang w:eastAsia="en-US"/>
              </w:rPr>
              <w:t xml:space="preserve">Summary table: combined systemic exposure from </w:t>
            </w:r>
            <w:r w:rsidR="004248D6">
              <w:rPr>
                <w:rFonts w:eastAsia="Calibri"/>
                <w:b/>
                <w:lang w:eastAsia="en-US"/>
              </w:rPr>
              <w:t>industrial/professionals</w:t>
            </w:r>
            <w:r>
              <w:rPr>
                <w:rFonts w:eastAsia="Calibri"/>
                <w:b/>
                <w:lang w:eastAsia="en-US"/>
              </w:rPr>
              <w:t xml:space="preserve"> uses</w:t>
            </w:r>
            <w:r w:rsidR="004248D6">
              <w:rPr>
                <w:rFonts w:eastAsia="Calibri"/>
                <w:b/>
                <w:lang w:eastAsia="en-US"/>
              </w:rPr>
              <w:t xml:space="preserve"> and exposure as the general public</w:t>
            </w:r>
          </w:p>
        </w:tc>
      </w:tr>
      <w:tr w:rsidR="0022193E" w14:paraId="40DB1DDD" w14:textId="77777777"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02B36DA" w14:textId="77777777" w:rsidR="0022193E" w:rsidRDefault="0022193E" w:rsidP="0010778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4E418D9" w14:textId="77777777" w:rsidR="0022193E" w:rsidRDefault="0022193E" w:rsidP="0010778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D99F387" w14:textId="77777777" w:rsidR="0022193E" w:rsidRDefault="0022193E" w:rsidP="0010778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62072CF" w14:textId="77777777" w:rsidR="0022193E" w:rsidRDefault="0022193E" w:rsidP="0010778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5E15733" w14:textId="77777777" w:rsidR="0022193E" w:rsidRDefault="0022193E" w:rsidP="00107787">
            <w:pPr>
              <w:spacing w:line="260" w:lineRule="atLeast"/>
              <w:rPr>
                <w:rFonts w:eastAsia="Calibri"/>
                <w:b/>
                <w:lang w:eastAsia="en-US"/>
              </w:rPr>
            </w:pPr>
            <w:r>
              <w:rPr>
                <w:rFonts w:eastAsia="Calibri"/>
                <w:b/>
                <w:lang w:eastAsia="en-US"/>
              </w:rPr>
              <w:t>Estimated total uptake*</w:t>
            </w:r>
          </w:p>
        </w:tc>
      </w:tr>
      <w:tr w:rsidR="0022193E" w14:paraId="5B3DB857" w14:textId="77777777"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1157510" w14:textId="77777777" w:rsidR="0022193E" w:rsidRDefault="0022193E" w:rsidP="00107787">
            <w:pPr>
              <w:spacing w:line="260" w:lineRule="atLeast"/>
              <w:rPr>
                <w:rFonts w:eastAsia="Calibri"/>
                <w:lang w:eastAsia="en-US"/>
              </w:rPr>
            </w:pPr>
            <w:r>
              <w:rPr>
                <w:rFonts w:eastAsia="Calibri"/>
                <w:lang w:eastAsia="en-US"/>
              </w:rPr>
              <w:t>Industrial workers</w:t>
            </w:r>
          </w:p>
          <w:p w14:paraId="1F38AF1F" w14:textId="77777777" w:rsidR="0022193E" w:rsidRDefault="0022193E" w:rsidP="00107787">
            <w:pPr>
              <w:spacing w:line="260" w:lineRule="atLeast"/>
              <w:rPr>
                <w:rFonts w:eastAsia="Calibri"/>
                <w:lang w:eastAsia="en-US"/>
              </w:rPr>
            </w:pPr>
            <w:r>
              <w:rPr>
                <w:rFonts w:eastAsia="Calibri"/>
                <w:lang w:eastAsia="en-US"/>
              </w:rPr>
              <w:t xml:space="preserve">Scenarios 1 (Tier 2), 7, 8, 9, 10, 12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CA2F69A" w14:textId="77777777" w:rsidR="0022193E" w:rsidRDefault="0022193E" w:rsidP="00107787">
            <w:pPr>
              <w:spacing w:line="260" w:lineRule="atLeast"/>
              <w:rPr>
                <w:rFonts w:eastAsia="Calibri"/>
                <w:lang w:eastAsia="en-US"/>
              </w:rPr>
            </w:pPr>
            <w:r>
              <w:rPr>
                <w:rFonts w:eastAsia="Calibri"/>
                <w:lang w:eastAsia="en-US"/>
              </w:rPr>
              <w:t xml:space="preserve">0.075 mg/kg </w:t>
            </w:r>
            <w:proofErr w:type="spellStart"/>
            <w:r>
              <w:rPr>
                <w:rFonts w:eastAsia="Calibri"/>
                <w:lang w:eastAsia="en-US"/>
              </w:rPr>
              <w:t>bw</w:t>
            </w:r>
            <w:proofErr w:type="spellEnd"/>
            <w:r>
              <w:rPr>
                <w:rFonts w:eastAsia="Calibri"/>
                <w:lang w:eastAsia="en-US"/>
              </w:rPr>
              <w:t>/d</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2DB5094" w14:textId="77777777" w:rsidR="0022193E" w:rsidRDefault="0022193E" w:rsidP="00107787">
            <w:pPr>
              <w:spacing w:line="260" w:lineRule="atLeast"/>
              <w:rPr>
                <w:rFonts w:eastAsia="Calibri"/>
                <w:lang w:eastAsia="en-US"/>
              </w:rPr>
            </w:pPr>
            <w:r>
              <w:rPr>
                <w:rFonts w:eastAsia="Calibri"/>
                <w:lang w:eastAsia="en-US"/>
              </w:rPr>
              <w:t xml:space="preserve">2.03 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2AF276A" w14:textId="77777777" w:rsidR="0022193E" w:rsidRDefault="00683599" w:rsidP="00107787">
            <w:pPr>
              <w:spacing w:line="260" w:lineRule="atLeast"/>
              <w:rPr>
                <w:rFonts w:eastAsia="Calibri"/>
                <w:lang w:eastAsia="en-US"/>
              </w:rPr>
            </w:pPr>
            <w:r>
              <w:rPr>
                <w:rFonts w:eastAsia="Calibri"/>
                <w:lang w:eastAsia="en-US"/>
              </w:rPr>
              <w:t>0.00</w:t>
            </w:r>
            <w:r w:rsidR="0022193E">
              <w:rPr>
                <w:rFonts w:eastAsia="Calibri"/>
                <w:lang w:eastAsia="en-US"/>
              </w:rPr>
              <w:t xml:space="preserve">175 mg/kg </w:t>
            </w:r>
            <w:proofErr w:type="spellStart"/>
            <w:r w:rsidR="0022193E">
              <w:rPr>
                <w:rFonts w:eastAsia="Calibri"/>
                <w:lang w:eastAsia="en-US"/>
              </w:rPr>
              <w:t>bw</w:t>
            </w:r>
            <w:proofErr w:type="spellEnd"/>
            <w:r w:rsidR="0022193E">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487EBD7" w14:textId="77777777" w:rsidR="0022193E" w:rsidRDefault="00683599" w:rsidP="00107787">
            <w:pPr>
              <w:spacing w:line="260" w:lineRule="atLeast"/>
              <w:rPr>
                <w:rFonts w:eastAsia="Calibri"/>
                <w:lang w:eastAsia="en-US"/>
              </w:rPr>
            </w:pPr>
            <w:r>
              <w:rPr>
                <w:rFonts w:eastAsia="Calibri"/>
                <w:lang w:eastAsia="en-US"/>
              </w:rPr>
              <w:t>2.04</w:t>
            </w:r>
            <w:r w:rsidR="004248D6">
              <w:rPr>
                <w:rFonts w:eastAsia="Calibri"/>
                <w:lang w:eastAsia="en-US"/>
              </w:rPr>
              <w:t xml:space="preserve"> </w:t>
            </w:r>
            <w:r w:rsidR="0022193E">
              <w:rPr>
                <w:rFonts w:eastAsia="Calibri"/>
                <w:lang w:eastAsia="en-US"/>
              </w:rPr>
              <w:t xml:space="preserve">mg/kg </w:t>
            </w:r>
            <w:proofErr w:type="spellStart"/>
            <w:r w:rsidR="0022193E">
              <w:rPr>
                <w:rFonts w:eastAsia="Calibri"/>
                <w:lang w:eastAsia="en-US"/>
              </w:rPr>
              <w:t>bw</w:t>
            </w:r>
            <w:proofErr w:type="spellEnd"/>
            <w:r w:rsidR="0022193E">
              <w:rPr>
                <w:rFonts w:eastAsia="Calibri"/>
                <w:lang w:eastAsia="en-US"/>
              </w:rPr>
              <w:t>/day</w:t>
            </w:r>
          </w:p>
          <w:p w14:paraId="1D6F8B3F" w14:textId="77777777" w:rsidR="0022193E" w:rsidRDefault="0022193E" w:rsidP="00107787">
            <w:pPr>
              <w:spacing w:line="260" w:lineRule="atLeast"/>
              <w:rPr>
                <w:rFonts w:eastAsia="Calibri"/>
                <w:lang w:eastAsia="en-US"/>
              </w:rPr>
            </w:pPr>
          </w:p>
        </w:tc>
      </w:tr>
      <w:tr w:rsidR="0022193E" w14:paraId="622504F4" w14:textId="77777777"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9D5D43E" w14:textId="77777777" w:rsidR="0022193E" w:rsidRDefault="0022193E" w:rsidP="0022193E">
            <w:pPr>
              <w:spacing w:line="260" w:lineRule="atLeast"/>
              <w:rPr>
                <w:rFonts w:eastAsia="Calibri"/>
                <w:lang w:eastAsia="en-US"/>
              </w:rPr>
            </w:pPr>
            <w:r>
              <w:rPr>
                <w:rFonts w:eastAsia="Calibri"/>
                <w:lang w:eastAsia="en-US"/>
              </w:rPr>
              <w:t>Professional workers</w:t>
            </w:r>
          </w:p>
          <w:p w14:paraId="4B3C4B47" w14:textId="77777777" w:rsidR="0022193E" w:rsidRDefault="0022193E" w:rsidP="0022193E">
            <w:pPr>
              <w:spacing w:line="260" w:lineRule="atLeast"/>
              <w:rPr>
                <w:rFonts w:eastAsia="Calibri"/>
                <w:lang w:eastAsia="en-US"/>
              </w:rPr>
            </w:pPr>
            <w:r>
              <w:rPr>
                <w:rFonts w:eastAsia="Calibri"/>
                <w:lang w:eastAsia="en-US"/>
              </w:rPr>
              <w:t>Scenarios 3, 4, 5, 7, 8, 9, 10, 12</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20CD30" w14:textId="77777777" w:rsidR="0022193E" w:rsidRDefault="004248D6" w:rsidP="0010778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C6CA7F0" w14:textId="77777777" w:rsidR="0022193E" w:rsidRDefault="004248D6" w:rsidP="00107787">
            <w:pPr>
              <w:spacing w:line="260" w:lineRule="atLeast"/>
              <w:rPr>
                <w:rFonts w:eastAsia="Calibri"/>
                <w:lang w:eastAsia="en-US"/>
              </w:rPr>
            </w:pPr>
            <w:r>
              <w:rPr>
                <w:rFonts w:eastAsia="Calibri"/>
                <w:lang w:eastAsia="en-US"/>
              </w:rPr>
              <w:t>4.10</w:t>
            </w:r>
            <w:r w:rsidR="0022193E">
              <w:rPr>
                <w:rFonts w:eastAsia="Calibri"/>
                <w:lang w:eastAsia="en-US"/>
              </w:rPr>
              <w:t xml:space="preserve"> mg/kg </w:t>
            </w:r>
            <w:proofErr w:type="spellStart"/>
            <w:r w:rsidR="0022193E">
              <w:rPr>
                <w:rFonts w:eastAsia="Calibri"/>
                <w:lang w:eastAsia="en-US"/>
              </w:rPr>
              <w:t>bw</w:t>
            </w:r>
            <w:proofErr w:type="spellEnd"/>
            <w:r w:rsidR="0022193E">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73ABE7" w14:textId="77777777" w:rsidR="0022193E" w:rsidRDefault="0022193E" w:rsidP="00683599">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396B7BA" w14:textId="77777777" w:rsidR="0022193E" w:rsidRDefault="004248D6" w:rsidP="00107787">
            <w:pPr>
              <w:spacing w:line="260" w:lineRule="atLeast"/>
              <w:rPr>
                <w:rFonts w:eastAsia="Calibri"/>
                <w:lang w:eastAsia="en-US"/>
              </w:rPr>
            </w:pPr>
            <w:r>
              <w:rPr>
                <w:rFonts w:eastAsia="Calibri"/>
                <w:lang w:eastAsia="en-US"/>
              </w:rPr>
              <w:t xml:space="preserve">4.10 </w:t>
            </w:r>
            <w:r w:rsidR="0022193E">
              <w:rPr>
                <w:rFonts w:eastAsia="Calibri"/>
                <w:lang w:eastAsia="en-US"/>
              </w:rPr>
              <w:t xml:space="preserve">mg/kg </w:t>
            </w:r>
            <w:proofErr w:type="spellStart"/>
            <w:r w:rsidR="0022193E">
              <w:rPr>
                <w:rFonts w:eastAsia="Calibri"/>
                <w:lang w:eastAsia="en-US"/>
              </w:rPr>
              <w:t>bw</w:t>
            </w:r>
            <w:proofErr w:type="spellEnd"/>
            <w:r w:rsidR="0022193E">
              <w:rPr>
                <w:rFonts w:eastAsia="Calibri"/>
                <w:lang w:eastAsia="en-US"/>
              </w:rPr>
              <w:t>/day</w:t>
            </w:r>
          </w:p>
          <w:p w14:paraId="08132953" w14:textId="77777777" w:rsidR="0022193E" w:rsidRDefault="0022193E" w:rsidP="00107787">
            <w:pPr>
              <w:spacing w:line="260" w:lineRule="atLeast"/>
              <w:rPr>
                <w:rFonts w:eastAsia="Calibri"/>
                <w:lang w:eastAsia="en-US"/>
              </w:rPr>
            </w:pPr>
          </w:p>
        </w:tc>
      </w:tr>
    </w:tbl>
    <w:p w14:paraId="413C007F" w14:textId="77777777" w:rsidR="0022193E" w:rsidRPr="0022193E" w:rsidRDefault="0022193E">
      <w:pPr>
        <w:spacing w:line="260" w:lineRule="atLeast"/>
        <w:rPr>
          <w:rFonts w:eastAsia="Calibri"/>
          <w:iCs/>
          <w:sz w:val="18"/>
          <w:lang w:eastAsia="en-US"/>
        </w:rPr>
      </w:pPr>
    </w:p>
    <w:p w14:paraId="35EBEBA4" w14:textId="77777777" w:rsidR="0022193E" w:rsidRPr="0022193E" w:rsidRDefault="0022193E">
      <w:pPr>
        <w:spacing w:line="260" w:lineRule="atLeast"/>
        <w:rPr>
          <w:rFonts w:eastAsia="Calibri"/>
          <w:iCs/>
          <w:sz w:val="18"/>
          <w:lang w:eastAsia="en-US"/>
        </w:rPr>
      </w:pPr>
    </w:p>
    <w:p w14:paraId="36BBD4CF" w14:textId="77777777" w:rsidR="00CF59EF" w:rsidRDefault="000B5D37">
      <w:pPr>
        <w:rPr>
          <w:rFonts w:eastAsia="Calibri"/>
          <w:b/>
          <w:i/>
          <w:sz w:val="22"/>
          <w:szCs w:val="22"/>
          <w:lang w:eastAsia="en-US"/>
        </w:rPr>
      </w:pPr>
      <w:bookmarkStart w:id="1502" w:name="_Toc403472770"/>
      <w:bookmarkStart w:id="1503" w:name="_Toc389729076"/>
      <w:bookmarkEnd w:id="1502"/>
      <w:bookmarkEnd w:id="1503"/>
      <w:r>
        <w:rPr>
          <w:rFonts w:eastAsia="Calibri"/>
          <w:b/>
          <w:i/>
          <w:sz w:val="22"/>
          <w:szCs w:val="22"/>
          <w:lang w:eastAsia="en-US"/>
        </w:rPr>
        <w:t>Monitoring data</w:t>
      </w:r>
    </w:p>
    <w:p w14:paraId="5EDFE80F" w14:textId="77777777" w:rsidR="00CF59EF" w:rsidRDefault="000B5D37">
      <w:pPr>
        <w:spacing w:line="260" w:lineRule="atLeast"/>
        <w:rPr>
          <w:rFonts w:eastAsia="Calibri"/>
          <w:iCs/>
          <w:lang w:eastAsia="en-US"/>
        </w:rPr>
      </w:pPr>
      <w:r>
        <w:rPr>
          <w:rFonts w:eastAsia="Calibri"/>
          <w:iCs/>
          <w:lang w:eastAsia="en-US"/>
        </w:rPr>
        <w:t xml:space="preserve">No monitoring data are available. </w:t>
      </w:r>
    </w:p>
    <w:p w14:paraId="4ED65FA4" w14:textId="77777777" w:rsidR="00CF59EF" w:rsidRDefault="00CF59EF">
      <w:pPr>
        <w:spacing w:line="260" w:lineRule="atLeast"/>
        <w:rPr>
          <w:rFonts w:eastAsia="Calibri"/>
          <w:lang w:eastAsia="en-US"/>
        </w:rPr>
      </w:pPr>
    </w:p>
    <w:p w14:paraId="111FE867" w14:textId="77777777" w:rsidR="00CF59EF" w:rsidRDefault="000B5D37">
      <w:pPr>
        <w:rPr>
          <w:rFonts w:eastAsia="Calibri"/>
          <w:b/>
          <w:i/>
          <w:sz w:val="22"/>
          <w:szCs w:val="22"/>
          <w:lang w:eastAsia="en-US"/>
        </w:rPr>
      </w:pPr>
      <w:bookmarkStart w:id="1504" w:name="_Toc403472771"/>
      <w:bookmarkStart w:id="1505" w:name="_Toc389729077"/>
      <w:bookmarkEnd w:id="1504"/>
      <w:bookmarkEnd w:id="1505"/>
      <w:r>
        <w:rPr>
          <w:rFonts w:eastAsia="Calibri"/>
          <w:b/>
          <w:i/>
          <w:sz w:val="22"/>
          <w:szCs w:val="22"/>
          <w:lang w:eastAsia="en-US"/>
        </w:rPr>
        <w:t>Dietary exposure</w:t>
      </w:r>
    </w:p>
    <w:p w14:paraId="10237862" w14:textId="77777777" w:rsidR="00CF59EF" w:rsidRDefault="000B5D37">
      <w:pPr>
        <w:spacing w:line="260" w:lineRule="atLeast"/>
        <w:rPr>
          <w:rFonts w:eastAsia="Calibri"/>
          <w:iCs/>
          <w:lang w:eastAsia="en-US"/>
        </w:rPr>
      </w:pPr>
      <w:r>
        <w:rPr>
          <w:rFonts w:eastAsia="Calibri"/>
          <w:iCs/>
          <w:lang w:eastAsia="en-US"/>
        </w:rPr>
        <w:t xml:space="preserve">The exposure of general public to residues of the biocidal product on the washed dinnerware has been assessed in the previous section (Scenario 12 &amp; 13). </w:t>
      </w:r>
    </w:p>
    <w:p w14:paraId="3BCE0D96" w14:textId="77777777" w:rsidR="00CF59EF" w:rsidRDefault="00CF59EF">
      <w:pPr>
        <w:spacing w:line="260" w:lineRule="atLeast"/>
        <w:rPr>
          <w:rFonts w:eastAsia="Calibri"/>
          <w:lang w:eastAsia="en-US"/>
        </w:rPr>
      </w:pPr>
    </w:p>
    <w:p w14:paraId="6AEBFFFE" w14:textId="77777777" w:rsidR="00CF59EF" w:rsidRDefault="000B5D37">
      <w:pPr>
        <w:rPr>
          <w:rFonts w:eastAsia="Calibri"/>
          <w:i/>
          <w:sz w:val="22"/>
          <w:szCs w:val="22"/>
          <w:u w:val="single"/>
          <w:lang w:eastAsia="en-US"/>
        </w:rPr>
      </w:pPr>
      <w:bookmarkStart w:id="1506" w:name="_Toc389729079"/>
      <w:bookmarkEnd w:id="1506"/>
      <w:r>
        <w:rPr>
          <w:rFonts w:eastAsia="Calibri"/>
          <w:i/>
          <w:sz w:val="22"/>
          <w:szCs w:val="22"/>
          <w:u w:val="single"/>
          <w:lang w:eastAsia="en-US"/>
        </w:rPr>
        <w:t>Information of non-biocidal use of the active substance</w:t>
      </w:r>
    </w:p>
    <w:p w14:paraId="7AC89E91" w14:textId="77777777" w:rsidR="00CF59EF" w:rsidRDefault="00CF59EF">
      <w:pPr>
        <w:spacing w:line="260" w:lineRule="atLeast"/>
        <w:rPr>
          <w:rFonts w:eastAsia="Calibri"/>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896"/>
        <w:gridCol w:w="1451"/>
        <w:gridCol w:w="3685"/>
        <w:gridCol w:w="3165"/>
      </w:tblGrid>
      <w:tr w:rsidR="00CF59EF" w14:paraId="0533223F" w14:textId="77777777">
        <w:trPr>
          <w:tblHeader/>
        </w:trPr>
        <w:tc>
          <w:tcPr>
            <w:tcW w:w="921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7D782512" w14:textId="77777777" w:rsidR="00CF59EF" w:rsidRDefault="000B5D37">
            <w:pPr>
              <w:spacing w:line="260" w:lineRule="atLeast"/>
              <w:jc w:val="center"/>
              <w:rPr>
                <w:rFonts w:eastAsia="Calibri"/>
                <w:b/>
                <w:lang w:eastAsia="en-US"/>
              </w:rPr>
            </w:pPr>
            <w:r>
              <w:rPr>
                <w:rFonts w:eastAsia="Calibri"/>
                <w:b/>
                <w:lang w:eastAsia="en-US"/>
              </w:rPr>
              <w:lastRenderedPageBreak/>
              <w:t>Summary table of other (non-biocidal) uses</w:t>
            </w:r>
          </w:p>
        </w:tc>
      </w:tr>
      <w:tr w:rsidR="00CF59EF" w14:paraId="23BE1117" w14:textId="77777777">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5B5845C" w14:textId="77777777" w:rsidR="00CF59EF" w:rsidRDefault="00CF59EF">
            <w:pPr>
              <w:spacing w:line="260" w:lineRule="atLeast"/>
              <w:rPr>
                <w:rFonts w:eastAsia="Calibri"/>
                <w:lang w:eastAsia="en-US"/>
              </w:rPr>
            </w:pP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A37D1C" w14:textId="77777777" w:rsidR="00CF59EF" w:rsidRDefault="000B5D37">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E038425" w14:textId="77777777" w:rsidR="00CF59EF" w:rsidRDefault="000B5D37">
            <w:pPr>
              <w:spacing w:line="260" w:lineRule="atLeast"/>
              <w:rPr>
                <w:rFonts w:eastAsia="Calibri"/>
                <w:b/>
                <w:lang w:eastAsia="en-US"/>
              </w:rPr>
            </w:pPr>
            <w:r>
              <w:rPr>
                <w:rFonts w:eastAsia="Calibri"/>
                <w:b/>
                <w:lang w:eastAsia="en-US"/>
              </w:rPr>
              <w:t>Intended use</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7F16BB7" w14:textId="77777777" w:rsidR="00CF59EF" w:rsidRDefault="000B5D37">
            <w:pPr>
              <w:spacing w:line="260" w:lineRule="atLeast"/>
              <w:rPr>
                <w:rFonts w:eastAsia="Calibri"/>
                <w:b/>
                <w:lang w:eastAsia="en-US"/>
              </w:rPr>
            </w:pPr>
            <w:r>
              <w:rPr>
                <w:rFonts w:eastAsia="Calibri"/>
                <w:b/>
                <w:lang w:eastAsia="en-US"/>
              </w:rPr>
              <w:t>Reference value(s)</w:t>
            </w:r>
          </w:p>
        </w:tc>
      </w:tr>
      <w:tr w:rsidR="00CF59EF" w14:paraId="6BB3E8EB" w14:textId="77777777">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DA26F61" w14:textId="77777777" w:rsidR="00CF59EF" w:rsidRDefault="000B5D37">
            <w:pPr>
              <w:spacing w:line="260" w:lineRule="atLeast"/>
              <w:rPr>
                <w:rFonts w:eastAsia="Calibri"/>
                <w:lang w:eastAsia="en-US"/>
              </w:rPr>
            </w:pPr>
            <w:r>
              <w:rPr>
                <w:rFonts w:eastAsia="Calibri"/>
                <w:lang w:eastAsia="en-US"/>
              </w:rPr>
              <w:t>1.</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B97B5C6" w14:textId="77777777" w:rsidR="00CF59EF" w:rsidRDefault="000B5D37">
            <w:pPr>
              <w:spacing w:line="260" w:lineRule="atLeast"/>
              <w:rPr>
                <w:rFonts w:eastAsia="Calibri"/>
                <w:lang w:eastAsia="en-US"/>
              </w:rPr>
            </w:pPr>
            <w:r>
              <w:rPr>
                <w:rFonts w:eastAsia="Calibri"/>
                <w:lang w:eastAsia="en-US"/>
              </w:rPr>
              <w:t>Food additive</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6256F75" w14:textId="77777777" w:rsidR="00CF59EF" w:rsidRDefault="000B5D37">
            <w:pPr>
              <w:spacing w:line="260" w:lineRule="atLeast"/>
              <w:rPr>
                <w:rFonts w:eastAsia="Calibri"/>
                <w:lang w:eastAsia="en-US"/>
              </w:rPr>
            </w:pPr>
            <w:r>
              <w:rPr>
                <w:rFonts w:eastAsia="Calibri"/>
                <w:lang w:eastAsia="en-US"/>
              </w:rPr>
              <w:t xml:space="preserve">Sodium benzoate is used as a food </w:t>
            </w:r>
            <w:r>
              <w:rPr>
                <w:rFonts w:eastAsia="Calibri"/>
                <w:iCs/>
                <w:szCs w:val="24"/>
                <w:lang w:eastAsia="en-US"/>
              </w:rPr>
              <w:t>preservative (E211) in the European Union</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5319F2A" w14:textId="77777777" w:rsidR="00CF59EF" w:rsidRDefault="000B5D37">
            <w:pPr>
              <w:spacing w:line="260" w:lineRule="atLeast"/>
              <w:rPr>
                <w:rFonts w:eastAsia="Calibri"/>
                <w:lang w:eastAsia="en-US"/>
              </w:rPr>
            </w:pPr>
            <w:r>
              <w:rPr>
                <w:rFonts w:eastAsia="Calibri"/>
                <w:lang w:eastAsia="en-US"/>
              </w:rPr>
              <w:t xml:space="preserve">ADI = 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2</w:t>
            </w:r>
            <w:r>
              <w:rPr>
                <w:rFonts w:eastAsia="Calibri"/>
                <w:lang w:eastAsia="en-US"/>
              </w:rPr>
              <w:t xml:space="preserve"> (expressed as benzoic acid)</w:t>
            </w:r>
          </w:p>
        </w:tc>
      </w:tr>
      <w:tr w:rsidR="00CF59EF" w14:paraId="5951CA36" w14:textId="77777777">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FB7754" w14:textId="77777777" w:rsidR="00CF59EF" w:rsidRDefault="000B5D37">
            <w:pPr>
              <w:spacing w:line="260" w:lineRule="atLeast"/>
              <w:rPr>
                <w:rFonts w:eastAsia="Calibri"/>
                <w:lang w:eastAsia="en-US"/>
              </w:rPr>
            </w:pPr>
            <w:r>
              <w:rPr>
                <w:rFonts w:eastAsia="Calibri"/>
                <w:lang w:eastAsia="en-US"/>
              </w:rPr>
              <w:t>2.</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D1DCA61" w14:textId="77777777" w:rsidR="00CF59EF" w:rsidRDefault="000B5D37">
            <w:pPr>
              <w:spacing w:line="260" w:lineRule="atLeast"/>
              <w:rPr>
                <w:rFonts w:eastAsia="Calibri"/>
                <w:lang w:eastAsia="en-US"/>
              </w:rPr>
            </w:pPr>
            <w:r>
              <w:rPr>
                <w:rFonts w:eastAsia="Calibri"/>
                <w:lang w:eastAsia="en-US"/>
              </w:rPr>
              <w:t>Cosmetic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AE99E44" w14:textId="77777777" w:rsidR="00CF59EF" w:rsidRDefault="000B5D37">
            <w:pPr>
              <w:spacing w:line="260" w:lineRule="atLeast"/>
              <w:rPr>
                <w:rFonts w:eastAsia="Calibri"/>
                <w:lang w:eastAsia="en-US"/>
              </w:rPr>
            </w:pPr>
            <w:r>
              <w:rPr>
                <w:rFonts w:eastAsia="Calibri"/>
                <w:lang w:eastAsia="en-US"/>
              </w:rPr>
              <w:t>Preservative in cosmetic products with a maximal concentration of 0.5%, as regulated by the EU Cosmetics directives 76/768/EEC</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F6964EE" w14:textId="77777777" w:rsidR="00CF59EF" w:rsidRDefault="000B5D37">
            <w:pPr>
              <w:spacing w:line="260" w:lineRule="atLeast"/>
              <w:rPr>
                <w:rFonts w:eastAsia="Calibri"/>
                <w:lang w:eastAsia="en-US"/>
              </w:rPr>
            </w:pPr>
            <w:r>
              <w:rPr>
                <w:rFonts w:eastAsia="Calibri"/>
                <w:lang w:eastAsia="en-US"/>
              </w:rPr>
              <w:t xml:space="preserve">Full group ADI for benzoic acid and its salts of 0-5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3</w:t>
            </w:r>
            <w:r>
              <w:rPr>
                <w:rFonts w:eastAsia="Calibri"/>
                <w:lang w:eastAsia="en-US"/>
              </w:rPr>
              <w:t xml:space="preserve"> </w:t>
            </w:r>
          </w:p>
        </w:tc>
      </w:tr>
      <w:tr w:rsidR="00CF59EF" w14:paraId="0F369DF5" w14:textId="77777777">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1C76BF5" w14:textId="77777777" w:rsidR="00CF59EF" w:rsidRDefault="000B5D37">
            <w:pPr>
              <w:spacing w:line="260" w:lineRule="atLeast"/>
              <w:rPr>
                <w:rFonts w:eastAsia="Calibri"/>
                <w:lang w:eastAsia="en-US"/>
              </w:rPr>
            </w:pPr>
            <w:r>
              <w:rPr>
                <w:rFonts w:eastAsia="Calibri"/>
                <w:lang w:eastAsia="en-US"/>
              </w:rPr>
              <w:t>3</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A8576E3" w14:textId="77777777" w:rsidR="00CF59EF" w:rsidRDefault="000B5D37">
            <w:pPr>
              <w:spacing w:line="260" w:lineRule="atLeast"/>
              <w:rPr>
                <w:rFonts w:eastAsia="Calibri"/>
                <w:lang w:eastAsia="en-US"/>
              </w:rPr>
            </w:pPr>
            <w:r>
              <w:rPr>
                <w:rFonts w:eastAsia="Calibri"/>
                <w:lang w:eastAsia="en-US"/>
              </w:rPr>
              <w:t>Cosmetic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D2EB6FB" w14:textId="77777777" w:rsidR="00CF59EF" w:rsidRDefault="000B5D37">
            <w:pPr>
              <w:spacing w:line="260" w:lineRule="atLeast"/>
              <w:rPr>
                <w:rFonts w:eastAsia="Calibri"/>
                <w:lang w:eastAsia="en-US"/>
              </w:rPr>
            </w:pPr>
            <w:r>
              <w:rPr>
                <w:rFonts w:eastAsia="Calibri"/>
                <w:lang w:eastAsia="en-US"/>
              </w:rPr>
              <w:t xml:space="preserve">Non-preservative purposes in cosmetic rinse-off products at a maximal concentration of 2.5%, in cosmetic oral-care products at a maximum concentration of 1.7%, and in leave-on products up to 0.5%. </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42EB732" w14:textId="77777777" w:rsidR="00CF59EF" w:rsidRDefault="000B5D37">
            <w:pPr>
              <w:spacing w:line="260" w:lineRule="atLeast"/>
              <w:rPr>
                <w:rFonts w:eastAsia="Calibri"/>
                <w:lang w:eastAsia="en-US"/>
              </w:rPr>
            </w:pPr>
            <w:r>
              <w:rPr>
                <w:rFonts w:eastAsia="Calibri"/>
                <w:lang w:eastAsia="en-US"/>
              </w:rPr>
              <w:t xml:space="preserve">Full group ADI for benzoic acid and its salts of 0-5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3</w:t>
            </w:r>
          </w:p>
        </w:tc>
      </w:tr>
      <w:tr w:rsidR="00CF59EF" w14:paraId="26EEFF2C" w14:textId="77777777">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D567A99" w14:textId="77777777" w:rsidR="00CF59EF" w:rsidRDefault="000B5D37">
            <w:pPr>
              <w:spacing w:line="260" w:lineRule="atLeast"/>
              <w:rPr>
                <w:rFonts w:eastAsia="Calibri"/>
                <w:lang w:eastAsia="en-US"/>
              </w:rPr>
            </w:pPr>
            <w:r>
              <w:rPr>
                <w:rFonts w:eastAsia="Calibri"/>
                <w:lang w:eastAsia="en-US"/>
              </w:rPr>
              <w:t>4</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9AA1B12" w14:textId="77777777" w:rsidR="00CF59EF" w:rsidRDefault="000B5D37">
            <w:pPr>
              <w:spacing w:line="260" w:lineRule="atLeast"/>
              <w:rPr>
                <w:rFonts w:eastAsia="Calibri"/>
                <w:lang w:eastAsia="en-US"/>
              </w:rPr>
            </w:pPr>
            <w:r>
              <w:rPr>
                <w:rFonts w:eastAsia="Calibri"/>
                <w:lang w:eastAsia="en-US"/>
              </w:rPr>
              <w:t>Medicinal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DDD530F" w14:textId="77777777" w:rsidR="00CF59EF" w:rsidRDefault="000B5D37">
            <w:pPr>
              <w:spacing w:line="260" w:lineRule="atLeast"/>
              <w:rPr>
                <w:rFonts w:eastAsia="Calibri"/>
                <w:lang w:eastAsia="en-US"/>
              </w:rPr>
            </w:pPr>
            <w:r>
              <w:rPr>
                <w:rFonts w:eastAsia="Calibri"/>
                <w:lang w:eastAsia="en-US"/>
              </w:rPr>
              <w:t>In oral medicines up to 0.5%, in parenterally administered drugs up to 0.5%</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EC85844" w14:textId="77777777" w:rsidR="00CF59EF" w:rsidRDefault="000B5D37">
            <w:pPr>
              <w:spacing w:line="260" w:lineRule="atLeast"/>
              <w:rPr>
                <w:rFonts w:eastAsia="Calibri"/>
                <w:lang w:eastAsia="en-US"/>
              </w:rPr>
            </w:pPr>
            <w:r>
              <w:rPr>
                <w:rFonts w:eastAsia="Calibri"/>
                <w:lang w:eastAsia="en-US"/>
              </w:rPr>
              <w:t xml:space="preserve">ADI = 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2</w:t>
            </w:r>
            <w:r>
              <w:rPr>
                <w:rFonts w:eastAsia="Calibri"/>
                <w:lang w:eastAsia="en-US"/>
              </w:rPr>
              <w:t xml:space="preserve"> (expressed as benzoic acid)</w:t>
            </w:r>
          </w:p>
        </w:tc>
      </w:tr>
    </w:tbl>
    <w:p w14:paraId="39C005FD" w14:textId="77777777" w:rsidR="00CF59EF" w:rsidRDefault="000B5D37">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e.g. plant protection products, veterinary use, food or feed additives</w:t>
      </w:r>
    </w:p>
    <w:p w14:paraId="16B28DEF" w14:textId="77777777" w:rsidR="00CF59EF" w:rsidRDefault="000B5D37">
      <w:pPr>
        <w:spacing w:line="260" w:lineRule="atLeast"/>
        <w:rPr>
          <w:rFonts w:eastAsia="Calibri"/>
          <w:sz w:val="18"/>
          <w:lang w:eastAsia="en-US"/>
        </w:rPr>
      </w:pPr>
      <w:r>
        <w:rPr>
          <w:rFonts w:eastAsia="Calibri"/>
          <w:iCs/>
          <w:sz w:val="16"/>
          <w:vertAlign w:val="superscript"/>
          <w:lang w:eastAsia="en-US"/>
        </w:rPr>
        <w:t>2</w:t>
      </w:r>
      <w:r>
        <w:rPr>
          <w:rFonts w:eastAsia="Calibri"/>
          <w:iCs/>
          <w:sz w:val="16"/>
          <w:lang w:eastAsia="en-US"/>
        </w:rPr>
        <w:t xml:space="preserve"> EFSA Scientific Opinion on the re-evaluation of benzoic acid (E 210), sodium benzoate (E 211), potassium benzoate (E 212) and calcium benzoate (E 213) as food additives. EFSA Journal 2016, 14 (4) 4433</w:t>
      </w:r>
    </w:p>
    <w:p w14:paraId="5AFBC730" w14:textId="77777777" w:rsidR="00CF59EF" w:rsidRDefault="000B5D37">
      <w:pPr>
        <w:spacing w:line="260" w:lineRule="atLeast"/>
        <w:rPr>
          <w:rFonts w:eastAsia="Calibri"/>
          <w:sz w:val="16"/>
          <w:szCs w:val="16"/>
          <w:lang w:eastAsia="en-US"/>
        </w:rPr>
      </w:pPr>
      <w:r>
        <w:rPr>
          <w:rFonts w:eastAsia="Calibri"/>
          <w:sz w:val="16"/>
          <w:szCs w:val="16"/>
          <w:vertAlign w:val="superscript"/>
          <w:lang w:eastAsia="en-US"/>
        </w:rPr>
        <w:t>3</w:t>
      </w:r>
      <w:r>
        <w:rPr>
          <w:rFonts w:eastAsia="Calibri"/>
          <w:sz w:val="16"/>
          <w:szCs w:val="16"/>
          <w:vertAlign w:val="subscript"/>
          <w:lang w:eastAsia="en-US"/>
        </w:rPr>
        <w:t xml:space="preserve"> </w:t>
      </w:r>
      <w:r>
        <w:rPr>
          <w:rFonts w:eastAsia="Calibri"/>
          <w:sz w:val="16"/>
          <w:szCs w:val="16"/>
          <w:lang w:eastAsia="en-US"/>
        </w:rPr>
        <w:t>Scientific Committee on Consumer Products (SCCP). Opinion on benzoic acid and sodium benzoate. SCCP/0891/05, adopted by the SCCP during the 4</w:t>
      </w:r>
      <w:r>
        <w:rPr>
          <w:rFonts w:eastAsia="Calibri"/>
          <w:sz w:val="16"/>
          <w:szCs w:val="16"/>
          <w:vertAlign w:val="superscript"/>
          <w:lang w:eastAsia="en-US"/>
        </w:rPr>
        <w:t>th</w:t>
      </w:r>
      <w:r>
        <w:rPr>
          <w:rFonts w:eastAsia="Calibri"/>
          <w:sz w:val="16"/>
          <w:szCs w:val="16"/>
          <w:lang w:eastAsia="en-US"/>
        </w:rPr>
        <w:t xml:space="preserve"> plenary of 21 June 2005.</w:t>
      </w:r>
    </w:p>
    <w:p w14:paraId="08157394" w14:textId="77777777" w:rsidR="00CF59EF" w:rsidRDefault="00CF59EF">
      <w:pPr>
        <w:spacing w:line="260" w:lineRule="atLeast"/>
        <w:rPr>
          <w:rFonts w:eastAsia="Calibri"/>
          <w:lang w:eastAsia="en-US"/>
        </w:rPr>
      </w:pPr>
    </w:p>
    <w:p w14:paraId="39FFA0E6" w14:textId="77777777" w:rsidR="00CF59EF" w:rsidRDefault="000B5D37">
      <w:pPr>
        <w:rPr>
          <w:rFonts w:eastAsia="Calibri"/>
          <w:i/>
          <w:sz w:val="22"/>
          <w:szCs w:val="22"/>
          <w:u w:val="single"/>
          <w:lang w:eastAsia="en-US"/>
        </w:rPr>
      </w:pPr>
      <w:bookmarkStart w:id="1507" w:name="_Toc389729080"/>
      <w:bookmarkEnd w:id="1507"/>
      <w:r>
        <w:rPr>
          <w:rFonts w:eastAsia="Calibri"/>
          <w:i/>
          <w:sz w:val="22"/>
          <w:szCs w:val="22"/>
          <w:u w:val="single"/>
          <w:lang w:eastAsia="en-US"/>
        </w:rPr>
        <w:t>Estimating Livestock Exposure to Active Substances used in Biocidal Products</w:t>
      </w:r>
    </w:p>
    <w:p w14:paraId="1ECC70DF" w14:textId="77777777" w:rsidR="00CF59EF" w:rsidRDefault="00CF59EF">
      <w:pPr>
        <w:spacing w:line="260" w:lineRule="atLeast"/>
        <w:rPr>
          <w:rFonts w:eastAsia="Calibri"/>
          <w:b/>
          <w:bCs/>
          <w:lang w:eastAsia="en-US"/>
        </w:rPr>
      </w:pPr>
    </w:p>
    <w:p w14:paraId="2412E245" w14:textId="77777777" w:rsidR="00CF59EF" w:rsidRDefault="000B5D37">
      <w:pPr>
        <w:spacing w:line="260" w:lineRule="atLeast"/>
        <w:rPr>
          <w:rFonts w:eastAsia="Calibri"/>
          <w:sz w:val="18"/>
          <w:lang w:eastAsia="en-US"/>
        </w:rPr>
      </w:pPr>
      <w:r>
        <w:rPr>
          <w:rFonts w:eastAsia="Calibri"/>
          <w:lang w:eastAsia="en-US"/>
        </w:rPr>
        <w:t xml:space="preserve">No livestock exposure is envisaged for PT6 applications. </w:t>
      </w:r>
    </w:p>
    <w:p w14:paraId="037F40F2" w14:textId="77777777" w:rsidR="00CF59EF" w:rsidRDefault="00CF59EF">
      <w:pPr>
        <w:spacing w:line="260" w:lineRule="atLeast"/>
        <w:rPr>
          <w:rFonts w:eastAsia="Calibri"/>
          <w:lang w:eastAsia="en-US"/>
        </w:rPr>
      </w:pPr>
    </w:p>
    <w:p w14:paraId="43EB2927" w14:textId="77777777" w:rsidR="00CF59EF" w:rsidRDefault="000B5D37">
      <w:pPr>
        <w:rPr>
          <w:rFonts w:eastAsia="Calibri"/>
          <w:i/>
          <w:sz w:val="22"/>
          <w:szCs w:val="22"/>
          <w:u w:val="single"/>
          <w:lang w:eastAsia="en-US"/>
        </w:rPr>
      </w:pPr>
      <w:bookmarkStart w:id="1508" w:name="_Toc389729081"/>
      <w:bookmarkEnd w:id="1508"/>
      <w:r>
        <w:rPr>
          <w:rFonts w:eastAsia="Calibri"/>
          <w:i/>
          <w:sz w:val="22"/>
          <w:szCs w:val="22"/>
          <w:u w:val="single"/>
          <w:lang w:eastAsia="en-US"/>
        </w:rPr>
        <w:t>Estimating transfer of biocidal active substances into foods as a result of professional and/or industrial application(s)</w:t>
      </w:r>
    </w:p>
    <w:p w14:paraId="2F96A193" w14:textId="77777777" w:rsidR="00DF4B22" w:rsidRDefault="00DF4B22">
      <w:pPr>
        <w:spacing w:line="260" w:lineRule="atLeast"/>
        <w:rPr>
          <w:rFonts w:eastAsia="Calibri"/>
          <w:lang w:eastAsia="en-US"/>
        </w:rPr>
      </w:pPr>
    </w:p>
    <w:p w14:paraId="40C1472A" w14:textId="77777777" w:rsidR="00CF59EF" w:rsidRDefault="000B5D37">
      <w:pPr>
        <w:spacing w:line="260" w:lineRule="atLeast"/>
        <w:rPr>
          <w:rFonts w:eastAsia="Calibri"/>
          <w:b/>
          <w:lang w:eastAsia="en-US"/>
        </w:rPr>
      </w:pPr>
      <w:r>
        <w:rPr>
          <w:rFonts w:eastAsia="Calibri"/>
          <w:b/>
          <w:lang w:eastAsia="en-US"/>
        </w:rPr>
        <w:t>Scenario 14: Transfer of biocidal product residues into food as a result of cleaning of the surfaces which may come into contact with food</w:t>
      </w:r>
    </w:p>
    <w:p w14:paraId="51D3EA07" w14:textId="77777777" w:rsidR="00CF59EF" w:rsidRDefault="00CF59EF">
      <w:pPr>
        <w:spacing w:line="260" w:lineRule="atLeast"/>
        <w:rPr>
          <w:rFonts w:eastAsia="Calibri"/>
          <w:lang w:eastAsia="en-US"/>
        </w:rPr>
      </w:pPr>
    </w:p>
    <w:p w14:paraId="49C5EB3B" w14:textId="77777777" w:rsidR="00CF59EF" w:rsidRDefault="000B5D37">
      <w:pPr>
        <w:spacing w:line="260" w:lineRule="atLeast"/>
        <w:rPr>
          <w:rFonts w:eastAsia="Calibri"/>
          <w:lang w:eastAsia="en-US"/>
        </w:rPr>
      </w:pPr>
      <w:r>
        <w:rPr>
          <w:rFonts w:eastAsia="Calibri"/>
          <w:lang w:eastAsia="en-US"/>
        </w:rPr>
        <w:t xml:space="preserve">A transfer of residues of the biocidal product into food may occur if the surfaces that are cleaned with treated articles that are preserved with the product, come into contact with food (e.g. kitchen tops). Professional users may use either cleaning liquids diluted in water to clean the surfaces with a wrung cloth, or hand-held trigger sprays to clean small surface areas. In the latter case, however, the cleaning liquids are sprayed on the surface and subsequently wiped off with a wet cloth, or washed with water, thus no residues of the product are expected to remain on the surface. In the first case, the dried residues of the cleaning solution may remain on the surface and come in contact with food, which will subsequently be consumed by general public. </w:t>
      </w:r>
    </w:p>
    <w:p w14:paraId="48DE045C" w14:textId="77777777" w:rsidR="00CF59EF" w:rsidRDefault="00CF59EF">
      <w:pPr>
        <w:spacing w:line="260" w:lineRule="atLeast"/>
        <w:rPr>
          <w:rFonts w:eastAsia="Calibri"/>
          <w:lang w:eastAsia="en-US"/>
        </w:rPr>
      </w:pPr>
    </w:p>
    <w:p w14:paraId="085A13AB" w14:textId="77777777" w:rsidR="00DF4B22" w:rsidRDefault="000B5D37">
      <w:pPr>
        <w:spacing w:line="260" w:lineRule="atLeast"/>
        <w:rPr>
          <w:rFonts w:eastAsia="Calibri"/>
          <w:iCs/>
          <w:lang w:eastAsia="en-US"/>
        </w:rPr>
      </w:pPr>
      <w:r>
        <w:rPr>
          <w:rFonts w:eastAsia="Calibri"/>
          <w:lang w:eastAsia="en-US"/>
        </w:rPr>
        <w:t xml:space="preserve">The approach used to calculate the secondary exposure of general public to biocidal product residues in food is similar to the method used to calculate secondary oral exposure </w:t>
      </w:r>
      <w:r>
        <w:rPr>
          <w:rFonts w:eastAsia="Calibri"/>
          <w:lang w:eastAsia="en-US"/>
        </w:rPr>
        <w:lastRenderedPageBreak/>
        <w:t>of general public to biocidal product residues on the washed dinnerware. According to the Cleaning Products Fact Sheet (RIVM report 320104003/2006), the surface of the kitchen top is 1.71 m</w:t>
      </w:r>
      <w:r>
        <w:rPr>
          <w:rFonts w:eastAsia="Calibri"/>
          <w:vertAlign w:val="superscript"/>
          <w:lang w:eastAsia="en-US"/>
        </w:rPr>
        <w:t>2</w:t>
      </w:r>
      <w:r>
        <w:rPr>
          <w:rFonts w:eastAsia="Calibri"/>
          <w:lang w:eastAsia="en-US"/>
        </w:rPr>
        <w:t>, or 17100 cm</w:t>
      </w:r>
      <w:r>
        <w:rPr>
          <w:rFonts w:eastAsia="Calibri"/>
          <w:vertAlign w:val="superscript"/>
          <w:lang w:eastAsia="en-US"/>
        </w:rPr>
        <w:t>2</w:t>
      </w:r>
      <w:r>
        <w:rPr>
          <w:rFonts w:eastAsia="Calibri"/>
          <w:lang w:eastAsia="en-US"/>
        </w:rPr>
        <w:t xml:space="preserve">.  The amount of water </w:t>
      </w:r>
      <w:r>
        <w:rPr>
          <w:rFonts w:eastAsia="Calibri"/>
          <w:iCs/>
          <w:lang w:eastAsia="en-US"/>
        </w:rPr>
        <w:t>left on the surface is considered to be the same as the amount of water left on the washed dinnerware, and is equal to 5.5 x 10</w:t>
      </w:r>
      <w:r>
        <w:rPr>
          <w:rFonts w:eastAsia="Calibri"/>
          <w:iCs/>
          <w:vertAlign w:val="superscript"/>
          <w:lang w:eastAsia="en-US"/>
        </w:rPr>
        <w:t xml:space="preserve">-5 </w:t>
      </w:r>
      <w:r>
        <w:rPr>
          <w:rFonts w:eastAsia="Calibri"/>
          <w:iCs/>
          <w:lang w:eastAsia="en-US"/>
        </w:rPr>
        <w:t>mL/cm</w:t>
      </w:r>
      <w:r>
        <w:rPr>
          <w:rFonts w:eastAsia="Calibri"/>
          <w:iCs/>
          <w:vertAlign w:val="superscript"/>
          <w:lang w:eastAsia="en-US"/>
        </w:rPr>
        <w:t>2</w:t>
      </w:r>
      <w:r>
        <w:rPr>
          <w:rFonts w:eastAsia="Calibri"/>
          <w:iCs/>
          <w:lang w:eastAsia="en-US"/>
        </w:rPr>
        <w:t>. According to the Cleaning Produ</w:t>
      </w:r>
      <w:r w:rsidR="00EE5B46">
        <w:rPr>
          <w:rFonts w:eastAsia="Calibri"/>
          <w:iCs/>
          <w:lang w:eastAsia="en-US"/>
        </w:rPr>
        <w:t>c</w:t>
      </w:r>
      <w:r>
        <w:rPr>
          <w:rFonts w:eastAsia="Calibri"/>
          <w:iCs/>
          <w:lang w:eastAsia="en-US"/>
        </w:rPr>
        <w:t xml:space="preserve">ts Fact Sheet, </w:t>
      </w:r>
      <w:r>
        <w:rPr>
          <w:rFonts w:eastAsia="Calibri"/>
          <w:lang w:eastAsia="en-US"/>
        </w:rPr>
        <w:t>63 g of an all-purpose cleaner liquid is diluted in a bucket with 5 L water. The resulting cleaner concentration is thus 12.6 g/L, or 12.6 mg/</w:t>
      </w:r>
      <w:proofErr w:type="spellStart"/>
      <w:r>
        <w:rPr>
          <w:rFonts w:eastAsia="Calibri"/>
          <w:lang w:eastAsia="en-US"/>
        </w:rPr>
        <w:t>mL.</w:t>
      </w:r>
      <w:proofErr w:type="spellEnd"/>
      <w:r>
        <w:rPr>
          <w:rFonts w:eastAsia="Calibri"/>
          <w:lang w:eastAsia="en-US"/>
        </w:rPr>
        <w:t xml:space="preserve"> Subsequently, the total amount of the ingested cleaning liquid is calculated as (5.5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r>
        <w:rPr>
          <w:rFonts w:eastAsia="Calibri"/>
          <w:lang w:eastAsia="en-US"/>
        </w:rPr>
        <w:t xml:space="preserve"> x 17100 cm</w:t>
      </w:r>
      <w:r>
        <w:rPr>
          <w:rFonts w:eastAsia="Calibri"/>
          <w:vertAlign w:val="superscript"/>
          <w:lang w:eastAsia="en-US"/>
        </w:rPr>
        <w:t>2</w:t>
      </w:r>
      <w:r>
        <w:rPr>
          <w:rFonts w:eastAsia="Calibri"/>
          <w:lang w:eastAsia="en-US"/>
        </w:rPr>
        <w:t xml:space="preserve"> x 12.6 mg/mL =) 11.85 mg. Oral absorption of 100% is assumed for sodium benzoate. The body weight for an adult is set to 60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The resulting exposure estimates are presented in Annex 3.2. The resulting internal exposure to sodium benzoate is 0.00493 mg/kg </w:t>
      </w:r>
      <w:proofErr w:type="spellStart"/>
      <w:r>
        <w:rPr>
          <w:rFonts w:eastAsia="Calibri"/>
          <w:iCs/>
          <w:lang w:eastAsia="en-US"/>
        </w:rPr>
        <w:t>bw</w:t>
      </w:r>
      <w:proofErr w:type="spellEnd"/>
      <w:r>
        <w:rPr>
          <w:rFonts w:eastAsia="Calibri"/>
          <w:iCs/>
          <w:lang w:eastAsia="en-US"/>
        </w:rPr>
        <w:t>/day.</w:t>
      </w:r>
    </w:p>
    <w:p w14:paraId="02B13D39" w14:textId="77777777" w:rsidR="00CF59EF" w:rsidRDefault="00CF59EF">
      <w:pPr>
        <w:spacing w:line="260" w:lineRule="atLeast"/>
        <w:rPr>
          <w:rFonts w:eastAsia="Calibri"/>
          <w:lang w:eastAsia="en-US"/>
        </w:rPr>
      </w:pPr>
    </w:p>
    <w:p w14:paraId="64866CBA" w14:textId="77777777" w:rsidR="00CF59EF" w:rsidRDefault="000B5D37">
      <w:pPr>
        <w:rPr>
          <w:rFonts w:eastAsia="Calibri"/>
          <w:i/>
          <w:sz w:val="22"/>
          <w:szCs w:val="22"/>
          <w:u w:val="single"/>
          <w:lang w:eastAsia="en-US"/>
        </w:rPr>
      </w:pPr>
      <w:bookmarkStart w:id="1509" w:name="_Toc389729082"/>
      <w:bookmarkEnd w:id="1509"/>
      <w:r>
        <w:rPr>
          <w:rFonts w:eastAsia="Calibri"/>
          <w:i/>
          <w:sz w:val="22"/>
          <w:szCs w:val="22"/>
          <w:u w:val="single"/>
          <w:lang w:eastAsia="en-US"/>
        </w:rPr>
        <w:t>Estimating transfer of biocidal active substances into foods as a result of non-professional use</w:t>
      </w:r>
    </w:p>
    <w:p w14:paraId="1405FE2E" w14:textId="77777777" w:rsidR="00CF59EF" w:rsidRDefault="00CF59EF">
      <w:pPr>
        <w:spacing w:line="260" w:lineRule="atLeast"/>
        <w:rPr>
          <w:rFonts w:eastAsia="Calibri"/>
          <w:b/>
          <w:lang w:eastAsia="en-US"/>
        </w:rPr>
      </w:pPr>
    </w:p>
    <w:p w14:paraId="44F4F6B0" w14:textId="77777777" w:rsidR="00CF59EF" w:rsidRDefault="000B5D37">
      <w:pPr>
        <w:spacing w:line="260" w:lineRule="atLeast"/>
        <w:rPr>
          <w:rFonts w:eastAsia="Calibri"/>
          <w:lang w:eastAsia="en-US"/>
        </w:rPr>
      </w:pPr>
      <w:bookmarkStart w:id="1510" w:name="_Toc403472772"/>
      <w:bookmarkStart w:id="1511" w:name="_Toc389729083"/>
      <w:r>
        <w:rPr>
          <w:rFonts w:eastAsia="Calibri"/>
          <w:lang w:eastAsia="en-US"/>
        </w:rPr>
        <w:t xml:space="preserve">This scenario is considered to be covered by Scenario 13 (Transfer of biocidal product residues into food as a result of cleaning of the surfaces which may come into contact with food). </w:t>
      </w:r>
    </w:p>
    <w:p w14:paraId="04A89ED3" w14:textId="77777777" w:rsidR="009E1039" w:rsidRDefault="009E1039">
      <w:pPr>
        <w:spacing w:line="260" w:lineRule="atLeast"/>
        <w:rPr>
          <w:rFonts w:eastAsia="Calibri"/>
          <w:b/>
          <w:i/>
          <w:sz w:val="22"/>
          <w:szCs w:val="22"/>
          <w:lang w:eastAsia="en-US"/>
        </w:rPr>
      </w:pPr>
    </w:p>
    <w:bookmarkEnd w:id="1510"/>
    <w:bookmarkEnd w:id="1511"/>
    <w:p w14:paraId="53E1B2CF" w14:textId="77777777" w:rsidR="009E1039" w:rsidRDefault="009E1039">
      <w:pPr>
        <w:rPr>
          <w:rFonts w:eastAsia="Calibri"/>
          <w:b/>
          <w:i/>
          <w:sz w:val="22"/>
          <w:szCs w:val="22"/>
          <w:lang w:eastAsia="en-US"/>
        </w:rPr>
      </w:pPr>
      <w:r>
        <w:rPr>
          <w:rFonts w:eastAsia="Calibri"/>
          <w:b/>
          <w:i/>
          <w:sz w:val="22"/>
          <w:szCs w:val="22"/>
          <w:lang w:eastAsia="en-US"/>
        </w:rPr>
        <w:br w:type="page"/>
      </w:r>
    </w:p>
    <w:p w14:paraId="149584D8" w14:textId="77777777" w:rsidR="00CF59EF" w:rsidRDefault="000B5D37">
      <w:pPr>
        <w:spacing w:line="260" w:lineRule="atLeast"/>
        <w:rPr>
          <w:rFonts w:eastAsia="Calibri"/>
          <w:b/>
          <w:i/>
          <w:sz w:val="22"/>
          <w:szCs w:val="22"/>
          <w:lang w:eastAsia="en-US"/>
        </w:rPr>
      </w:pPr>
      <w:r>
        <w:rPr>
          <w:rFonts w:eastAsia="Calibri"/>
          <w:b/>
          <w:i/>
          <w:sz w:val="22"/>
          <w:szCs w:val="22"/>
          <w:lang w:eastAsia="en-US"/>
        </w:rPr>
        <w:lastRenderedPageBreak/>
        <w:t>Exposure associated with production, formulation and disposal of the biocidal product</w:t>
      </w:r>
    </w:p>
    <w:p w14:paraId="47161D8C" w14:textId="77777777" w:rsidR="00CF59EF" w:rsidRDefault="00CF59EF">
      <w:pPr>
        <w:spacing w:line="260" w:lineRule="atLeast"/>
        <w:rPr>
          <w:rFonts w:eastAsia="Calibri"/>
          <w:b/>
          <w:bCs/>
          <w:lang w:eastAsia="en-US"/>
        </w:rPr>
      </w:pPr>
    </w:p>
    <w:p w14:paraId="36785DD9" w14:textId="77777777" w:rsidR="00CF59EF" w:rsidRDefault="000B5D37">
      <w:pPr>
        <w:spacing w:line="260" w:lineRule="atLeast"/>
        <w:rPr>
          <w:rFonts w:eastAsia="Calibri"/>
          <w:lang w:eastAsia="en-US"/>
        </w:rPr>
      </w:pPr>
      <w:r>
        <w:rPr>
          <w:rFonts w:eastAsia="Calibri"/>
          <w:lang w:eastAsia="en-US"/>
        </w:rPr>
        <w:t xml:space="preserve">The biocidal product </w:t>
      </w:r>
      <w:proofErr w:type="spellStart"/>
      <w:r>
        <w:rPr>
          <w:rFonts w:eastAsia="Calibri"/>
          <w:lang w:eastAsia="en-US"/>
        </w:rPr>
        <w:t>Kalaguard</w:t>
      </w:r>
      <w:proofErr w:type="spellEnd"/>
      <w:r>
        <w:rPr>
          <w:rFonts w:eastAsia="Calibri"/>
          <w:lang w:eastAsia="en-US"/>
        </w:rPr>
        <w:t>® SB is 100% sodium benzoate (&gt;99.9% pure). Thus exposure associated with production, formulation and disposal of the product is in fact identical to the exposure association with production and disposal of the active substance. This type of exposure is usually addressed at the active substance evaluation stage under the Review Programme. As sodium benzoate is included in Annex I of Biocidal Product Regulation, no specific assessment of exposure associated with its production and disposal is considered to be necessary.  Furthermore, sodium benzoate is also an industrial substance registered under REACH, and its complete lifecycle, including the manufacture and disposal, is addressed under the REACH regulation.</w:t>
      </w:r>
    </w:p>
    <w:p w14:paraId="42B52D71" w14:textId="77777777" w:rsidR="00CF59EF" w:rsidRDefault="00CF59EF">
      <w:pPr>
        <w:spacing w:line="260" w:lineRule="atLeast"/>
        <w:rPr>
          <w:rFonts w:eastAsia="Calibri"/>
          <w:lang w:eastAsia="en-US"/>
        </w:rPr>
      </w:pPr>
    </w:p>
    <w:p w14:paraId="3B9D1933" w14:textId="77777777" w:rsidR="00CF59EF" w:rsidRDefault="000B5D37">
      <w:pPr>
        <w:rPr>
          <w:rFonts w:eastAsia="Calibri"/>
          <w:b/>
          <w:i/>
          <w:sz w:val="22"/>
          <w:szCs w:val="22"/>
          <w:lang w:eastAsia="en-US"/>
        </w:rPr>
      </w:pPr>
      <w:bookmarkStart w:id="1512" w:name="_Toc403472773"/>
      <w:bookmarkStart w:id="1513" w:name="_Toc389729086"/>
      <w:bookmarkEnd w:id="1512"/>
      <w:bookmarkEnd w:id="1513"/>
      <w:r>
        <w:rPr>
          <w:rFonts w:eastAsia="Calibri"/>
          <w:b/>
          <w:i/>
          <w:sz w:val="22"/>
          <w:szCs w:val="22"/>
          <w:lang w:eastAsia="en-US"/>
        </w:rPr>
        <w:t>Aggregated exposure</w:t>
      </w:r>
    </w:p>
    <w:p w14:paraId="14DC8881" w14:textId="77777777" w:rsidR="00CF59EF" w:rsidRDefault="00CF59EF">
      <w:pPr>
        <w:rPr>
          <w:rFonts w:eastAsia="Calibri"/>
          <w:b/>
          <w:i/>
          <w:sz w:val="22"/>
          <w:szCs w:val="22"/>
          <w:lang w:eastAsia="en-US"/>
        </w:rPr>
      </w:pPr>
    </w:p>
    <w:p w14:paraId="6B6D8192" w14:textId="77777777" w:rsidR="00CF59EF" w:rsidRDefault="000B5D37">
      <w:pPr>
        <w:rPr>
          <w:rFonts w:eastAsia="Calibri"/>
          <w:b/>
          <w:i/>
          <w:sz w:val="22"/>
          <w:szCs w:val="22"/>
          <w:lang w:eastAsia="en-US"/>
        </w:rPr>
      </w:pPr>
      <w:r>
        <w:rPr>
          <w:rFonts w:eastAsia="Calibri"/>
          <w:lang w:eastAsia="en-US"/>
        </w:rPr>
        <w:t xml:space="preserve">As currently no guidance is available on the estimation of aggregated exposure, this exposure was not assessed. </w:t>
      </w:r>
    </w:p>
    <w:p w14:paraId="6310AD88" w14:textId="77777777" w:rsidR="00CF59EF" w:rsidRDefault="00CF59EF">
      <w:pPr>
        <w:rPr>
          <w:rFonts w:eastAsia="Calibri"/>
          <w:lang w:eastAsia="en-US"/>
        </w:rPr>
      </w:pPr>
    </w:p>
    <w:p w14:paraId="11DE1F0A" w14:textId="77777777" w:rsidR="009E1039" w:rsidRDefault="009E1039">
      <w:pPr>
        <w:rPr>
          <w:rFonts w:eastAsia="Calibri"/>
          <w:b/>
          <w:i/>
          <w:sz w:val="22"/>
          <w:szCs w:val="22"/>
          <w:lang w:eastAsia="en-US"/>
        </w:rPr>
      </w:pPr>
      <w:bookmarkStart w:id="1514" w:name="_Toc403472774"/>
      <w:bookmarkStart w:id="1515" w:name="_Toc389729087"/>
      <w:bookmarkEnd w:id="1514"/>
      <w:bookmarkEnd w:id="1515"/>
      <w:r>
        <w:rPr>
          <w:rFonts w:eastAsia="Calibri"/>
          <w:b/>
          <w:i/>
          <w:sz w:val="22"/>
          <w:szCs w:val="22"/>
          <w:lang w:eastAsia="en-US"/>
        </w:rPr>
        <w:br w:type="page"/>
      </w:r>
    </w:p>
    <w:p w14:paraId="115973F0" w14:textId="77777777" w:rsidR="00CF59EF" w:rsidRDefault="000B5D37">
      <w:pPr>
        <w:rPr>
          <w:rFonts w:eastAsia="Calibri"/>
          <w:b/>
          <w:i/>
          <w:sz w:val="22"/>
          <w:szCs w:val="22"/>
          <w:lang w:eastAsia="en-US"/>
        </w:rPr>
      </w:pPr>
      <w:r>
        <w:rPr>
          <w:rFonts w:eastAsia="Calibri"/>
          <w:b/>
          <w:i/>
          <w:sz w:val="22"/>
          <w:szCs w:val="22"/>
          <w:lang w:eastAsia="en-US"/>
        </w:rPr>
        <w:lastRenderedPageBreak/>
        <w:t>Summary of exposure assessment</w:t>
      </w:r>
    </w:p>
    <w:p w14:paraId="2FC18598" w14:textId="77777777" w:rsidR="00CF59EF" w:rsidRDefault="00CF59EF">
      <w:pPr>
        <w:spacing w:line="260" w:lineRule="atLeast"/>
        <w:rPr>
          <w:rFonts w:eastAsia="Calibri"/>
          <w:highlight w:val="green"/>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261"/>
        <w:gridCol w:w="3062"/>
        <w:gridCol w:w="1128"/>
        <w:gridCol w:w="1746"/>
      </w:tblGrid>
      <w:tr w:rsidR="00CF59EF" w:rsidRPr="009E1039" w14:paraId="5AA15444" w14:textId="77777777" w:rsidTr="000A2C23">
        <w:trPr>
          <w:tblHeader/>
        </w:trPr>
        <w:tc>
          <w:tcPr>
            <w:tcW w:w="935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14:paraId="2E2EF608"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lastRenderedPageBreak/>
              <w:t>Scenarios and values to be used in risk assessment</w:t>
            </w:r>
          </w:p>
        </w:tc>
      </w:tr>
      <w:tr w:rsidR="00CF59EF" w:rsidRPr="009E1039" w14:paraId="1C87C6D7"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A2A99DA"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Scenario number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F5D48A4"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Exposed group</w:t>
            </w:r>
          </w:p>
          <w:p w14:paraId="48B88C93"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(e.g. professionals, non-professionals, bystanders)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AF5CACD"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Tier/PPE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2720DC9" w14:textId="77777777"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Estimated total uptake</w:t>
            </w:r>
          </w:p>
        </w:tc>
      </w:tr>
      <w:tr w:rsidR="00CF59EF" w:rsidRPr="009E1039" w14:paraId="639B32D9"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FE3F276" w14:textId="77777777"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 Mixing and loading (formulation of </w:t>
            </w:r>
            <w:proofErr w:type="spellStart"/>
            <w:r w:rsidRPr="009E1039">
              <w:rPr>
                <w:rFonts w:eastAsia="Calibri"/>
                <w:color w:val="000000"/>
                <w:sz w:val="16"/>
                <w:szCs w:val="16"/>
                <w:lang w:eastAsia="en-GB"/>
              </w:rPr>
              <w:t>Kalaguard</w:t>
            </w:r>
            <w:proofErr w:type="spellEnd"/>
            <w:r w:rsidRPr="009E1039">
              <w:rPr>
                <w:rFonts w:eastAsia="Calibri"/>
                <w:color w:val="000000"/>
                <w:sz w:val="16"/>
                <w:szCs w:val="16"/>
                <w:lang w:eastAsia="en-GB"/>
              </w:rPr>
              <w:t>® SB into treated articles)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6D94FDE" w14:textId="77777777" w:rsidR="00CF59EF" w:rsidRPr="009E1039" w:rsidRDefault="000B5D37">
            <w:pPr>
              <w:spacing w:line="260" w:lineRule="atLeast"/>
              <w:rPr>
                <w:rFonts w:eastAsia="Calibri"/>
                <w:sz w:val="16"/>
                <w:szCs w:val="16"/>
                <w:lang w:eastAsia="en-US"/>
              </w:rPr>
            </w:pPr>
            <w:r w:rsidRPr="009E1039">
              <w:rPr>
                <w:rFonts w:eastAsia="Calibri"/>
                <w:sz w:val="16"/>
                <w:szCs w:val="16"/>
                <w:lang w:eastAsia="en-US"/>
              </w:rPr>
              <w:t>Industrial users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9D9B790" w14:textId="77777777" w:rsidR="00CF59EF" w:rsidRPr="009E1039" w:rsidRDefault="000A2C23" w:rsidP="003E2A78">
            <w:pPr>
              <w:spacing w:line="260" w:lineRule="atLeast"/>
              <w:rPr>
                <w:rFonts w:eastAsia="Calibri"/>
                <w:sz w:val="16"/>
                <w:szCs w:val="16"/>
                <w:lang w:eastAsia="en-US"/>
              </w:rPr>
            </w:pPr>
            <w:r w:rsidRPr="009E1039">
              <w:rPr>
                <w:rFonts w:eastAsia="Calibri"/>
                <w:sz w:val="16"/>
                <w:szCs w:val="16"/>
                <w:lang w:eastAsia="en-US"/>
              </w:rPr>
              <w:t>1</w:t>
            </w:r>
            <w:r w:rsidR="000B5D37" w:rsidRPr="009E1039">
              <w:rPr>
                <w:rFonts w:eastAsia="Calibri"/>
                <w:sz w:val="16"/>
                <w:szCs w:val="16"/>
                <w:lang w:eastAsia="en-US"/>
              </w:rPr>
              <w:t>/</w:t>
            </w:r>
            <w:r w:rsidRPr="009E1039">
              <w:rPr>
                <w:rFonts w:eastAsia="Calibri"/>
                <w:sz w:val="16"/>
                <w:szCs w:val="16"/>
                <w:lang w:eastAsia="en-US"/>
              </w:rPr>
              <w:t>No PPE</w:t>
            </w:r>
            <w:r w:rsidR="000B5D37" w:rsidRPr="009E1039">
              <w:rPr>
                <w:rFonts w:eastAsia="Calibri"/>
                <w:sz w:val="16"/>
                <w:szCs w:val="16"/>
                <w:lang w:eastAsia="en-US"/>
              </w:rPr>
              <w:t xml:space="preserve"> </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063E6D5" w14:textId="77777777" w:rsidR="00CF59EF" w:rsidRPr="009E1039" w:rsidRDefault="00EA5E4D" w:rsidP="00EA5E4D">
            <w:pPr>
              <w:rPr>
                <w:sz w:val="16"/>
                <w:szCs w:val="16"/>
              </w:rPr>
            </w:pPr>
            <w:r>
              <w:rPr>
                <w:sz w:val="16"/>
                <w:szCs w:val="16"/>
              </w:rPr>
              <w:t>114.4</w:t>
            </w:r>
            <w:r w:rsidR="000B5D37" w:rsidRPr="009E1039">
              <w:rPr>
                <w:sz w:val="16"/>
                <w:szCs w:val="16"/>
              </w:rPr>
              <w:t xml:space="preserve"> mg/kg </w:t>
            </w:r>
            <w:proofErr w:type="spellStart"/>
            <w:r w:rsidR="000B5D37" w:rsidRPr="009E1039">
              <w:rPr>
                <w:sz w:val="16"/>
                <w:szCs w:val="16"/>
              </w:rPr>
              <w:t>bw</w:t>
            </w:r>
            <w:proofErr w:type="spellEnd"/>
            <w:r w:rsidR="000B5D37" w:rsidRPr="009E1039">
              <w:rPr>
                <w:sz w:val="16"/>
                <w:szCs w:val="16"/>
              </w:rPr>
              <w:t>/day</w:t>
            </w:r>
          </w:p>
        </w:tc>
      </w:tr>
      <w:tr w:rsidR="000A2C23" w:rsidRPr="009E1039" w14:paraId="40C43844"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3FA94E2" w14:textId="77777777" w:rsidR="000A2C23" w:rsidRPr="009E1039" w:rsidRDefault="000A2C23">
            <w:pPr>
              <w:keepNext/>
              <w:widowControl w:val="0"/>
              <w:tabs>
                <w:tab w:val="center" w:pos="4536"/>
                <w:tab w:val="right" w:pos="9072"/>
              </w:tabs>
              <w:rPr>
                <w:rFonts w:eastAsia="Calibri"/>
                <w:color w:val="000000"/>
                <w:sz w:val="16"/>
                <w:szCs w:val="16"/>
                <w:lang w:eastAsia="en-GB"/>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F2E8B13" w14:textId="77777777" w:rsidR="000A2C23" w:rsidRPr="009E1039" w:rsidRDefault="000A2C23">
            <w:pPr>
              <w:spacing w:line="260" w:lineRule="atLeast"/>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79A4419"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2/ PPE (gloves)</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4335804" w14:textId="77777777" w:rsidR="000A2C23" w:rsidRPr="009E1039" w:rsidRDefault="00EA5E4D" w:rsidP="00EA5E4D">
            <w:pPr>
              <w:rPr>
                <w:sz w:val="16"/>
                <w:szCs w:val="16"/>
              </w:rPr>
            </w:pPr>
            <w:r w:rsidRPr="002C30D1">
              <w:rPr>
                <w:sz w:val="16"/>
                <w:szCs w:val="16"/>
                <w:highlight w:val="yellow"/>
              </w:rPr>
              <w:t>1.</w:t>
            </w:r>
            <w:r w:rsidR="00551EAD" w:rsidRPr="002C30D1">
              <w:rPr>
                <w:sz w:val="16"/>
                <w:szCs w:val="16"/>
                <w:highlight w:val="yellow"/>
              </w:rPr>
              <w:t>12</w:t>
            </w:r>
            <w:r w:rsidR="000A2C23" w:rsidRPr="009E1039">
              <w:rPr>
                <w:sz w:val="16"/>
                <w:szCs w:val="16"/>
              </w:rPr>
              <w:t xml:space="preserve"> mg/kg </w:t>
            </w:r>
            <w:proofErr w:type="spellStart"/>
            <w:r w:rsidR="000A2C23" w:rsidRPr="009E1039">
              <w:rPr>
                <w:sz w:val="16"/>
                <w:szCs w:val="16"/>
              </w:rPr>
              <w:t>bw</w:t>
            </w:r>
            <w:proofErr w:type="spellEnd"/>
            <w:r w:rsidR="000A2C23" w:rsidRPr="009E1039">
              <w:rPr>
                <w:sz w:val="16"/>
                <w:szCs w:val="16"/>
              </w:rPr>
              <w:t>/day</w:t>
            </w:r>
          </w:p>
        </w:tc>
      </w:tr>
      <w:tr w:rsidR="000A2C23" w:rsidRPr="009E1039" w14:paraId="71F06226"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2AF65FD"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2. Use of laundry detergent liquids preserved with the product by professionals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DE87A38"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AA591FB"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CDE29A4" w14:textId="77777777" w:rsidR="000A2C23" w:rsidRPr="009E1039" w:rsidRDefault="000A2C23">
            <w:pPr>
              <w:rPr>
                <w:sz w:val="16"/>
                <w:szCs w:val="16"/>
              </w:rPr>
            </w:pPr>
            <w:r w:rsidRPr="009E1039">
              <w:rPr>
                <w:sz w:val="16"/>
                <w:szCs w:val="16"/>
              </w:rPr>
              <w:t xml:space="preserve">0.0626 mg/kg </w:t>
            </w:r>
            <w:proofErr w:type="spellStart"/>
            <w:r w:rsidRPr="009E1039">
              <w:rPr>
                <w:sz w:val="16"/>
                <w:szCs w:val="16"/>
              </w:rPr>
              <w:t>bw</w:t>
            </w:r>
            <w:proofErr w:type="spellEnd"/>
            <w:r w:rsidRPr="009E1039">
              <w:rPr>
                <w:sz w:val="16"/>
                <w:szCs w:val="16"/>
              </w:rPr>
              <w:t>/day</w:t>
            </w:r>
          </w:p>
        </w:tc>
      </w:tr>
      <w:tr w:rsidR="000A2C23" w:rsidRPr="009E1039" w14:paraId="72E8DFFC"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DF24976"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3. Use of floor cleaner liquids preserved with the product for </w:t>
            </w:r>
            <w:r w:rsidR="007F25FD" w:rsidRPr="009E1039">
              <w:rPr>
                <w:rFonts w:eastAsia="Calibri"/>
                <w:color w:val="000000"/>
                <w:sz w:val="16"/>
                <w:szCs w:val="16"/>
                <w:lang w:eastAsia="en-GB"/>
              </w:rPr>
              <w:t>mopping</w:t>
            </w:r>
            <w:r w:rsidRPr="009E1039">
              <w:rPr>
                <w:rFonts w:eastAsia="Calibri"/>
                <w:color w:val="000000"/>
                <w:sz w:val="16"/>
                <w:szCs w:val="16"/>
                <w:lang w:eastAsia="en-GB"/>
              </w:rPr>
              <w:t xml:space="preserve"> the floor with a mop and a wringer bucket by professional users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2F8FEDF"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5568408"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3140AA3" w14:textId="77777777" w:rsidR="000A2C23" w:rsidRPr="009E1039" w:rsidRDefault="000A2C23">
            <w:pPr>
              <w:rPr>
                <w:sz w:val="16"/>
                <w:szCs w:val="16"/>
              </w:rPr>
            </w:pPr>
            <w:r w:rsidRPr="009E1039">
              <w:rPr>
                <w:sz w:val="16"/>
                <w:szCs w:val="16"/>
              </w:rPr>
              <w:t xml:space="preserve">1.92 mg/kg </w:t>
            </w:r>
            <w:proofErr w:type="spellStart"/>
            <w:r w:rsidRPr="009E1039">
              <w:rPr>
                <w:sz w:val="16"/>
                <w:szCs w:val="16"/>
              </w:rPr>
              <w:t>bw</w:t>
            </w:r>
            <w:proofErr w:type="spellEnd"/>
            <w:r w:rsidRPr="009E1039">
              <w:rPr>
                <w:sz w:val="16"/>
                <w:szCs w:val="16"/>
              </w:rPr>
              <w:t>/day</w:t>
            </w:r>
          </w:p>
        </w:tc>
      </w:tr>
      <w:tr w:rsidR="000A2C23" w:rsidRPr="009E1039" w14:paraId="78E31960"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AE5BF67"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4. Use of all-purpose cleaner liquids preserved with the product for surface wiping by professional users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AECD22D"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A47B049"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B42B33D" w14:textId="77777777" w:rsidR="000A2C23" w:rsidRPr="009E1039" w:rsidRDefault="000A2C23">
            <w:pPr>
              <w:rPr>
                <w:sz w:val="16"/>
                <w:szCs w:val="16"/>
              </w:rPr>
            </w:pPr>
            <w:r w:rsidRPr="009E1039">
              <w:rPr>
                <w:sz w:val="16"/>
                <w:szCs w:val="16"/>
              </w:rPr>
              <w:t xml:space="preserve">0.95 mg/kg </w:t>
            </w:r>
            <w:proofErr w:type="spellStart"/>
            <w:r w:rsidRPr="009E1039">
              <w:rPr>
                <w:sz w:val="16"/>
                <w:szCs w:val="16"/>
              </w:rPr>
              <w:t>bw</w:t>
            </w:r>
            <w:proofErr w:type="spellEnd"/>
            <w:r w:rsidRPr="009E1039">
              <w:rPr>
                <w:sz w:val="16"/>
                <w:szCs w:val="16"/>
              </w:rPr>
              <w:t>/day</w:t>
            </w:r>
          </w:p>
        </w:tc>
      </w:tr>
      <w:tr w:rsidR="000A2C23" w:rsidRPr="009E1039" w14:paraId="5BC7D420"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B517F92"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5. Surface cleaning by professional users using hand-held trigger cleaning spray preserved with the product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097DC15"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CE2D584"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525F228" w14:textId="77777777" w:rsidR="000A2C23" w:rsidRPr="009E1039" w:rsidRDefault="000A2C23">
            <w:pPr>
              <w:rPr>
                <w:sz w:val="16"/>
                <w:szCs w:val="16"/>
              </w:rPr>
            </w:pPr>
            <w:r w:rsidRPr="009E1039">
              <w:rPr>
                <w:sz w:val="16"/>
                <w:szCs w:val="16"/>
              </w:rPr>
              <w:t xml:space="preserve">0.340 mg/kg </w:t>
            </w:r>
            <w:proofErr w:type="spellStart"/>
            <w:r w:rsidRPr="009E1039">
              <w:rPr>
                <w:sz w:val="16"/>
                <w:szCs w:val="16"/>
              </w:rPr>
              <w:t>bw</w:t>
            </w:r>
            <w:proofErr w:type="spellEnd"/>
            <w:r w:rsidRPr="009E1039">
              <w:rPr>
                <w:sz w:val="16"/>
                <w:szCs w:val="16"/>
              </w:rPr>
              <w:t xml:space="preserve">/day </w:t>
            </w:r>
          </w:p>
        </w:tc>
      </w:tr>
      <w:tr w:rsidR="000A2C23" w:rsidRPr="009E1039" w14:paraId="4A469BC8"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C21C989"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6. Use of dishwashing liquids preserved with the product for cleaning of dishes manually by professional users in the catering industry</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73D548D"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6E17F82"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3E599B5" w14:textId="77777777" w:rsidR="000A2C23" w:rsidRPr="009E1039" w:rsidRDefault="00712411" w:rsidP="00132530">
            <w:pPr>
              <w:rPr>
                <w:sz w:val="16"/>
                <w:szCs w:val="16"/>
              </w:rPr>
            </w:pPr>
            <w:r w:rsidRPr="002C30D1">
              <w:rPr>
                <w:sz w:val="16"/>
                <w:szCs w:val="16"/>
                <w:highlight w:val="yellow"/>
              </w:rPr>
              <w:t>1.9x10-4</w:t>
            </w:r>
            <w:r w:rsidR="00132530" w:rsidRPr="009E1039">
              <w:rPr>
                <w:sz w:val="16"/>
                <w:szCs w:val="16"/>
              </w:rPr>
              <w:t xml:space="preserve"> </w:t>
            </w:r>
            <w:r w:rsidR="000A2C23" w:rsidRPr="009E1039">
              <w:rPr>
                <w:sz w:val="16"/>
                <w:szCs w:val="16"/>
              </w:rPr>
              <w:t xml:space="preserve">mg/kg </w:t>
            </w:r>
            <w:proofErr w:type="spellStart"/>
            <w:r w:rsidR="000A2C23" w:rsidRPr="009E1039">
              <w:rPr>
                <w:sz w:val="16"/>
                <w:szCs w:val="16"/>
              </w:rPr>
              <w:t>bw</w:t>
            </w:r>
            <w:proofErr w:type="spellEnd"/>
            <w:r w:rsidR="000A2C23" w:rsidRPr="009E1039">
              <w:rPr>
                <w:sz w:val="16"/>
                <w:szCs w:val="16"/>
              </w:rPr>
              <w:t>/day</w:t>
            </w:r>
          </w:p>
        </w:tc>
      </w:tr>
      <w:tr w:rsidR="000A2C23" w:rsidRPr="009E1039" w14:paraId="41A46EA0"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1D31835"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7. Use of dishwashing liquids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A5466D8"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2FA5226"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82E41F1" w14:textId="77777777" w:rsidR="000A2C23" w:rsidRPr="009E1039" w:rsidRDefault="000A2C23" w:rsidP="00132530">
            <w:pPr>
              <w:spacing w:line="260" w:lineRule="atLeast"/>
              <w:rPr>
                <w:rFonts w:eastAsia="Calibri"/>
                <w:sz w:val="16"/>
                <w:szCs w:val="16"/>
                <w:lang w:eastAsia="en-US"/>
              </w:rPr>
            </w:pPr>
            <w:r w:rsidRPr="009E1039">
              <w:rPr>
                <w:rFonts w:eastAsia="Calibri"/>
                <w:sz w:val="16"/>
                <w:szCs w:val="16"/>
                <w:lang w:eastAsia="en-US"/>
              </w:rPr>
              <w:t>0.</w:t>
            </w:r>
            <w:r w:rsidR="00132530" w:rsidRPr="009E1039">
              <w:rPr>
                <w:rFonts w:eastAsia="Calibri"/>
                <w:sz w:val="16"/>
                <w:szCs w:val="16"/>
                <w:lang w:eastAsia="en-US"/>
              </w:rPr>
              <w:t>0</w:t>
            </w:r>
            <w:r w:rsidR="00132530">
              <w:rPr>
                <w:rFonts w:eastAsia="Calibri"/>
                <w:sz w:val="16"/>
                <w:szCs w:val="16"/>
                <w:lang w:eastAsia="en-US"/>
              </w:rPr>
              <w:t>26</w:t>
            </w:r>
            <w:r w:rsidR="00132530" w:rsidRPr="009E1039">
              <w:rPr>
                <w:rFonts w:eastAsia="Calibri"/>
                <w:sz w:val="16"/>
                <w:szCs w:val="16"/>
                <w:lang w:eastAsia="en-US"/>
              </w:rPr>
              <w:t xml:space="preserve"> </w:t>
            </w:r>
            <w:r w:rsidRPr="009E1039">
              <w:rPr>
                <w:rFonts w:eastAsia="Calibri"/>
                <w:sz w:val="16"/>
                <w:szCs w:val="16"/>
                <w:lang w:eastAsia="en-US"/>
              </w:rPr>
              <w:t xml:space="preserve">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36570CBD"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C34D32E"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8. Use of laundry detergent liquids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1966A7E"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2805B5C"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13DAE5E"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 xml:space="preserve">0.0609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64E3C7C7"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490782B"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9. Use of all-purpose cleaners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55ECFD3"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157D96C"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23CE32B" w14:textId="77777777" w:rsidR="000A2C23" w:rsidRPr="009E1039" w:rsidRDefault="000A2C23" w:rsidP="00C37D4D">
            <w:pPr>
              <w:spacing w:line="260" w:lineRule="atLeast"/>
              <w:rPr>
                <w:rFonts w:eastAsia="Calibri"/>
                <w:sz w:val="16"/>
                <w:szCs w:val="16"/>
                <w:lang w:eastAsia="en-US"/>
              </w:rPr>
            </w:pPr>
            <w:r w:rsidRPr="009E1039">
              <w:rPr>
                <w:rFonts w:eastAsia="Calibri"/>
                <w:sz w:val="16"/>
                <w:szCs w:val="16"/>
                <w:lang w:eastAsia="en-US"/>
              </w:rPr>
              <w:t>0.</w:t>
            </w:r>
            <w:r w:rsidR="00C37D4D">
              <w:rPr>
                <w:rFonts w:eastAsia="Calibri"/>
                <w:sz w:val="16"/>
                <w:szCs w:val="16"/>
                <w:lang w:eastAsia="en-US"/>
              </w:rPr>
              <w:t>081</w:t>
            </w:r>
            <w:r w:rsidR="00C37D4D" w:rsidRPr="009E1039">
              <w:rPr>
                <w:rFonts w:eastAsia="Calibri"/>
                <w:sz w:val="16"/>
                <w:szCs w:val="16"/>
                <w:lang w:eastAsia="en-US"/>
              </w:rPr>
              <w:t xml:space="preserve">  </w:t>
            </w:r>
            <w:r w:rsidRPr="009E1039">
              <w:rPr>
                <w:rFonts w:eastAsia="Calibri"/>
                <w:sz w:val="16"/>
                <w:szCs w:val="16"/>
                <w:lang w:eastAsia="en-US"/>
              </w:rPr>
              <w:t xml:space="preserve">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3D9632C1"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174115C"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10. Exposure of general public to residues of products in laundered clothing - adults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CCAB7C3"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7F8764C"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1DF463C" w14:textId="77777777" w:rsidR="000A2C23" w:rsidRPr="009E1039" w:rsidRDefault="000A2C23" w:rsidP="00101CC0">
            <w:pPr>
              <w:spacing w:line="260" w:lineRule="atLeast"/>
              <w:rPr>
                <w:rFonts w:eastAsia="Calibri"/>
                <w:sz w:val="16"/>
                <w:szCs w:val="16"/>
                <w:lang w:eastAsia="en-US"/>
              </w:rPr>
            </w:pPr>
            <w:r w:rsidRPr="009E1039">
              <w:rPr>
                <w:rFonts w:eastAsia="Calibri"/>
                <w:sz w:val="16"/>
                <w:szCs w:val="16"/>
                <w:lang w:eastAsia="en-US"/>
              </w:rPr>
              <w:t>0.</w:t>
            </w:r>
            <w:r w:rsidR="00101CC0" w:rsidRPr="009E1039">
              <w:rPr>
                <w:rFonts w:eastAsia="Calibri"/>
                <w:sz w:val="16"/>
                <w:szCs w:val="16"/>
                <w:lang w:eastAsia="en-US"/>
              </w:rPr>
              <w:t>7</w:t>
            </w:r>
            <w:r w:rsidR="00B43817" w:rsidRPr="009E1039">
              <w:rPr>
                <w:rFonts w:eastAsia="Calibri"/>
                <w:sz w:val="16"/>
                <w:szCs w:val="16"/>
                <w:lang w:eastAsia="en-US"/>
              </w:rPr>
              <w:t>2</w:t>
            </w:r>
            <w:r w:rsidRPr="009E1039">
              <w:rPr>
                <w:rFonts w:eastAsia="Calibri"/>
                <w:sz w:val="16"/>
                <w:szCs w:val="16"/>
                <w:lang w:eastAsia="en-US"/>
              </w:rPr>
              <w:t xml:space="preserve">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31561E3E"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625F07A" w14:textId="77777777" w:rsidR="000A2C23" w:rsidRPr="009E1039" w:rsidRDefault="000A2C23" w:rsidP="00C37D4D">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11. Exposure of general public to residues of products in laundered clothing </w:t>
            </w:r>
            <w:r w:rsidR="006B6453">
              <w:rPr>
                <w:rFonts w:eastAsia="Calibri"/>
                <w:color w:val="000000"/>
                <w:sz w:val="16"/>
                <w:szCs w:val="16"/>
                <w:lang w:eastAsia="en-GB"/>
              </w:rPr>
              <w:t>–</w:t>
            </w:r>
            <w:r w:rsidRPr="009E1039">
              <w:rPr>
                <w:rFonts w:eastAsia="Calibri"/>
                <w:color w:val="000000"/>
                <w:sz w:val="16"/>
                <w:szCs w:val="16"/>
                <w:lang w:eastAsia="en-GB"/>
              </w:rPr>
              <w:t xml:space="preserve"> </w:t>
            </w:r>
            <w:r w:rsidR="006B6453">
              <w:rPr>
                <w:rFonts w:eastAsia="Calibri"/>
                <w:color w:val="000000"/>
                <w:sz w:val="16"/>
                <w:szCs w:val="16"/>
                <w:lang w:eastAsia="en-GB"/>
              </w:rPr>
              <w:t xml:space="preserve">toddler and </w:t>
            </w:r>
            <w:r w:rsidR="00C37D4D">
              <w:rPr>
                <w:rFonts w:eastAsia="Calibri"/>
                <w:color w:val="000000"/>
                <w:sz w:val="16"/>
                <w:szCs w:val="16"/>
                <w:lang w:eastAsia="en-GB"/>
              </w:rPr>
              <w:t>infant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8875468"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ABDFCB0"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593BCC9" w14:textId="77777777" w:rsidR="006B6453" w:rsidRDefault="006B6453" w:rsidP="007F386F">
            <w:pPr>
              <w:spacing w:line="260" w:lineRule="atLeast"/>
              <w:rPr>
                <w:rFonts w:eastAsia="Calibri"/>
                <w:sz w:val="16"/>
                <w:szCs w:val="16"/>
                <w:lang w:eastAsia="en-US"/>
              </w:rPr>
            </w:pPr>
            <w:r>
              <w:rPr>
                <w:rFonts w:eastAsia="Calibri"/>
                <w:sz w:val="16"/>
                <w:szCs w:val="16"/>
                <w:lang w:eastAsia="en-US"/>
              </w:rPr>
              <w:t xml:space="preserve">1.24 mg/kg </w:t>
            </w:r>
            <w:proofErr w:type="spellStart"/>
            <w:r>
              <w:rPr>
                <w:rFonts w:eastAsia="Calibri"/>
                <w:sz w:val="16"/>
                <w:szCs w:val="16"/>
                <w:lang w:eastAsia="en-US"/>
              </w:rPr>
              <w:t>bw</w:t>
            </w:r>
            <w:proofErr w:type="spellEnd"/>
            <w:r>
              <w:rPr>
                <w:rFonts w:eastAsia="Calibri"/>
                <w:sz w:val="16"/>
                <w:szCs w:val="16"/>
                <w:lang w:eastAsia="en-US"/>
              </w:rPr>
              <w:t xml:space="preserve"> (toddler)</w:t>
            </w:r>
          </w:p>
          <w:p w14:paraId="2FBE447C" w14:textId="77777777" w:rsidR="000A2C23" w:rsidRPr="009E1039" w:rsidRDefault="00C37D4D" w:rsidP="007F386F">
            <w:pPr>
              <w:spacing w:line="260" w:lineRule="atLeast"/>
              <w:rPr>
                <w:rFonts w:eastAsia="Calibri"/>
                <w:sz w:val="16"/>
                <w:szCs w:val="16"/>
                <w:lang w:eastAsia="en-US"/>
              </w:rPr>
            </w:pPr>
            <w:r>
              <w:rPr>
                <w:rFonts w:eastAsia="Calibri"/>
                <w:sz w:val="16"/>
                <w:szCs w:val="16"/>
                <w:lang w:eastAsia="en-US"/>
              </w:rPr>
              <w:t>1.33</w:t>
            </w:r>
            <w:r w:rsidR="000A2C23" w:rsidRPr="009E1039">
              <w:rPr>
                <w:rFonts w:eastAsia="Calibri"/>
                <w:sz w:val="16"/>
                <w:szCs w:val="16"/>
                <w:lang w:eastAsia="en-US"/>
              </w:rPr>
              <w:t xml:space="preserve"> mg/kg </w:t>
            </w:r>
            <w:proofErr w:type="spellStart"/>
            <w:r w:rsidR="000A2C23" w:rsidRPr="009E1039">
              <w:rPr>
                <w:rFonts w:eastAsia="Calibri"/>
                <w:sz w:val="16"/>
                <w:szCs w:val="16"/>
                <w:lang w:eastAsia="en-US"/>
              </w:rPr>
              <w:t>bw</w:t>
            </w:r>
            <w:proofErr w:type="spellEnd"/>
            <w:r w:rsidR="000A2C23" w:rsidRPr="009E1039">
              <w:rPr>
                <w:rFonts w:eastAsia="Calibri"/>
                <w:sz w:val="16"/>
                <w:szCs w:val="16"/>
                <w:lang w:eastAsia="en-US"/>
              </w:rPr>
              <w:t>/day</w:t>
            </w:r>
            <w:r w:rsidR="006B6453">
              <w:rPr>
                <w:rFonts w:eastAsia="Calibri"/>
                <w:sz w:val="16"/>
                <w:szCs w:val="16"/>
                <w:lang w:eastAsia="en-US"/>
              </w:rPr>
              <w:t xml:space="preserve"> (infant)</w:t>
            </w:r>
          </w:p>
        </w:tc>
      </w:tr>
      <w:tr w:rsidR="000A2C23" w:rsidRPr="009E1039" w14:paraId="1C4480B4"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FD2F827"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12. Exposure of general public to residues of dishwashing liquids preserved with the product on washed dinnerware - adults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B86E2E1"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0BAD577"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A9BF64C" w14:textId="77777777" w:rsidR="000A2C23" w:rsidRPr="009E1039" w:rsidRDefault="000A2C23" w:rsidP="00107787">
            <w:pPr>
              <w:spacing w:line="260" w:lineRule="atLeast"/>
              <w:rPr>
                <w:rFonts w:eastAsia="Calibri"/>
                <w:sz w:val="16"/>
                <w:szCs w:val="16"/>
                <w:lang w:eastAsia="en-US"/>
              </w:rPr>
            </w:pPr>
            <w:r w:rsidRPr="009E1039">
              <w:rPr>
                <w:rFonts w:eastAsia="Calibri"/>
                <w:sz w:val="16"/>
                <w:szCs w:val="16"/>
                <w:lang w:eastAsia="en-US"/>
              </w:rPr>
              <w:t xml:space="preserve">0.00175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4F9704DF"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B0A2A9F" w14:textId="77777777" w:rsidR="000A2C23" w:rsidRPr="009E1039" w:rsidRDefault="000A2C23" w:rsidP="00FC461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13. Exposure of general public to residues of dishwashing liquids preserved with the product on washed dinnerware - </w:t>
            </w:r>
            <w:r w:rsidR="00FC4617">
              <w:rPr>
                <w:rFonts w:eastAsia="Calibri"/>
                <w:color w:val="000000"/>
                <w:sz w:val="16"/>
                <w:szCs w:val="16"/>
                <w:lang w:eastAsia="en-GB"/>
              </w:rPr>
              <w:t>toddler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011D634"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7534475"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07625DB" w14:textId="77777777" w:rsidR="000A2C23" w:rsidRPr="009E1039" w:rsidRDefault="000A2C23" w:rsidP="00107787">
            <w:pPr>
              <w:spacing w:line="260" w:lineRule="atLeast"/>
              <w:rPr>
                <w:rFonts w:eastAsia="Calibri"/>
                <w:sz w:val="16"/>
                <w:szCs w:val="16"/>
                <w:lang w:eastAsia="en-US"/>
              </w:rPr>
            </w:pPr>
            <w:r w:rsidRPr="009E1039">
              <w:rPr>
                <w:rFonts w:eastAsia="Calibri"/>
                <w:sz w:val="16"/>
                <w:szCs w:val="16"/>
                <w:lang w:eastAsia="en-US"/>
              </w:rPr>
              <w:t xml:space="preserve">0.0105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14:paraId="639E05D5"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FA2AF55" w14:textId="77777777"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14. Transfer of biocidal product residues into food as a result of cleaning of the surfaces which may come into contact with food</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F2D50C1"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87FE624" w14:textId="77777777"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DACA760" w14:textId="77777777" w:rsidR="000A2C23" w:rsidRPr="009E1039" w:rsidRDefault="000A2C23">
            <w:pPr>
              <w:rPr>
                <w:sz w:val="16"/>
                <w:szCs w:val="16"/>
              </w:rPr>
            </w:pPr>
            <w:r w:rsidRPr="009E1039">
              <w:rPr>
                <w:rFonts w:eastAsia="Calibri"/>
                <w:iCs/>
                <w:sz w:val="16"/>
                <w:szCs w:val="16"/>
                <w:lang w:eastAsia="en-US"/>
              </w:rPr>
              <w:t xml:space="preserve">0.00493 mg/kg </w:t>
            </w:r>
            <w:proofErr w:type="spellStart"/>
            <w:r w:rsidRPr="009E1039">
              <w:rPr>
                <w:rFonts w:eastAsia="Calibri"/>
                <w:iCs/>
                <w:sz w:val="16"/>
                <w:szCs w:val="16"/>
                <w:lang w:eastAsia="en-US"/>
              </w:rPr>
              <w:t>bw</w:t>
            </w:r>
            <w:proofErr w:type="spellEnd"/>
            <w:r w:rsidRPr="009E1039">
              <w:rPr>
                <w:rFonts w:eastAsia="Calibri"/>
                <w:iCs/>
                <w:sz w:val="16"/>
                <w:szCs w:val="16"/>
                <w:lang w:eastAsia="en-US"/>
              </w:rPr>
              <w:t>/day</w:t>
            </w:r>
          </w:p>
        </w:tc>
      </w:tr>
      <w:tr w:rsidR="00E64D74" w:rsidRPr="009E1039" w14:paraId="394DC52E"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052B53D" w14:textId="77777777" w:rsidR="00E64D74" w:rsidRPr="009E1039" w:rsidRDefault="00E64D74">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lastRenderedPageBreak/>
              <w:t>15. E</w:t>
            </w:r>
            <w:r w:rsidRPr="00FB0F0E">
              <w:rPr>
                <w:rFonts w:eastAsia="Calibri"/>
                <w:color w:val="000000"/>
                <w:sz w:val="16"/>
                <w:szCs w:val="16"/>
                <w:lang w:eastAsia="en-GB"/>
              </w:rPr>
              <w:t xml:space="preserve">xposure of toddlers </w:t>
            </w:r>
            <w:r>
              <w:rPr>
                <w:rFonts w:eastAsia="Calibri"/>
                <w:color w:val="000000"/>
                <w:sz w:val="16"/>
                <w:szCs w:val="16"/>
                <w:lang w:eastAsia="en-GB"/>
              </w:rPr>
              <w:t>to residues</w:t>
            </w:r>
            <w:r w:rsidRPr="00FB0F0E">
              <w:rPr>
                <w:rFonts w:eastAsia="Calibri"/>
                <w:color w:val="000000"/>
                <w:sz w:val="16"/>
                <w:szCs w:val="16"/>
                <w:lang w:eastAsia="en-GB"/>
              </w:rPr>
              <w:t xml:space="preserve"> of all-purpose cleaners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FFFBE7A" w14:textId="77777777" w:rsidR="00E64D74" w:rsidRPr="009E1039" w:rsidRDefault="00E64D74">
            <w:pPr>
              <w:spacing w:line="260" w:lineRule="atLeast"/>
              <w:rPr>
                <w:rFonts w:eastAsia="Calibri"/>
                <w:sz w:val="16"/>
                <w:szCs w:val="16"/>
                <w:lang w:eastAsia="en-US"/>
              </w:rPr>
            </w:pPr>
            <w:r>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13B1594" w14:textId="77777777" w:rsidR="00E64D74" w:rsidRPr="009E1039" w:rsidRDefault="00E64D74">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2B79EA3" w14:textId="77777777" w:rsidR="00E64D74" w:rsidRPr="009E1039" w:rsidRDefault="00E64D74">
            <w:pPr>
              <w:rPr>
                <w:rFonts w:eastAsia="Calibri"/>
                <w:iCs/>
                <w:sz w:val="16"/>
                <w:szCs w:val="16"/>
                <w:lang w:eastAsia="en-US"/>
              </w:rPr>
            </w:pPr>
            <w:r>
              <w:rPr>
                <w:rFonts w:eastAsia="Calibri"/>
                <w:iCs/>
                <w:sz w:val="16"/>
                <w:szCs w:val="16"/>
                <w:lang w:eastAsia="en-US"/>
              </w:rPr>
              <w:t xml:space="preserve">0.28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C37D4D" w:rsidRPr="009E1039" w14:paraId="44B050A0"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7925A1D" w14:textId="77777777"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14:paraId="4497F3A9" w14:textId="77777777" w:rsidR="00C37D4D" w:rsidRDefault="00683599" w:rsidP="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Scenario 3, 4 and 5</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46B6E3E" w14:textId="77777777" w:rsidR="00C37D4D" w:rsidRDefault="00C37D4D">
            <w:pPr>
              <w:spacing w:line="260" w:lineRule="atLeast"/>
              <w:rPr>
                <w:rFonts w:eastAsia="Calibri"/>
                <w:sz w:val="16"/>
                <w:szCs w:val="16"/>
                <w:lang w:eastAsia="en-US"/>
              </w:rPr>
            </w:pPr>
            <w:r>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870FDD0" w14:textId="77777777" w:rsidR="00C37D4D" w:rsidRPr="009E1039" w:rsidRDefault="00C37D4D">
            <w:pPr>
              <w:spacing w:line="260" w:lineRule="atLeast"/>
              <w:rPr>
                <w:rFonts w:eastAsia="Calibri"/>
                <w:sz w:val="16"/>
                <w:szCs w:val="16"/>
                <w:lang w:eastAsia="en-US"/>
              </w:rPr>
            </w:pPr>
            <w:r>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1C604BB" w14:textId="77777777" w:rsidR="00C37D4D" w:rsidRPr="00C37D4D" w:rsidRDefault="00C37D4D" w:rsidP="00C37D4D">
            <w:pPr>
              <w:rPr>
                <w:rFonts w:eastAsia="Calibri"/>
                <w:iCs/>
                <w:sz w:val="16"/>
                <w:szCs w:val="16"/>
                <w:lang w:eastAsia="en-US"/>
              </w:rPr>
            </w:pPr>
            <w:r>
              <w:rPr>
                <w:rFonts w:eastAsia="Calibri"/>
                <w:iCs/>
                <w:sz w:val="16"/>
                <w:szCs w:val="16"/>
                <w:lang w:eastAsia="en-US"/>
              </w:rPr>
              <w:t xml:space="preserve">3.21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C37D4D" w:rsidRPr="009E1039" w14:paraId="41929018"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B11EA09" w14:textId="77777777"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14:paraId="394C21ED" w14:textId="77777777"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scenario </w:t>
            </w:r>
            <w:r w:rsidRPr="00C37D4D">
              <w:rPr>
                <w:rFonts w:eastAsia="Calibri"/>
                <w:color w:val="000000"/>
                <w:sz w:val="16"/>
                <w:szCs w:val="16"/>
                <w:lang w:eastAsia="en-GB"/>
              </w:rPr>
              <w:t>7, 8, 9, 10, 12</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38BE65F4" w14:textId="77777777" w:rsidR="00C37D4D" w:rsidRDefault="00C37D4D">
            <w:pPr>
              <w:spacing w:line="260" w:lineRule="atLeast"/>
              <w:rPr>
                <w:rFonts w:eastAsia="Calibri"/>
                <w:sz w:val="16"/>
                <w:szCs w:val="16"/>
                <w:lang w:eastAsia="en-US"/>
              </w:rPr>
            </w:pPr>
            <w:r>
              <w:rPr>
                <w:rFonts w:eastAsia="Calibri"/>
                <w:sz w:val="16"/>
                <w:szCs w:val="16"/>
                <w:lang w:eastAsia="en-US"/>
              </w:rPr>
              <w:t>General public (adults)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7B5A07D8" w14:textId="77777777" w:rsidR="00C37D4D" w:rsidRPr="009E1039" w:rsidRDefault="00C37D4D">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7EBF13D" w14:textId="77777777" w:rsidR="00C37D4D" w:rsidRDefault="00C37D4D" w:rsidP="00683599">
            <w:pPr>
              <w:rPr>
                <w:rFonts w:eastAsia="Calibri"/>
                <w:iCs/>
                <w:sz w:val="16"/>
                <w:szCs w:val="16"/>
                <w:lang w:eastAsia="en-US"/>
              </w:rPr>
            </w:pPr>
            <w:r w:rsidRPr="00C37D4D">
              <w:rPr>
                <w:rFonts w:eastAsia="Calibri"/>
                <w:iCs/>
                <w:sz w:val="16"/>
                <w:szCs w:val="16"/>
                <w:lang w:eastAsia="en-US"/>
              </w:rPr>
              <w:t>0.8</w:t>
            </w:r>
            <w:r w:rsidR="00683599">
              <w:rPr>
                <w:rFonts w:eastAsia="Calibri"/>
                <w:iCs/>
                <w:sz w:val="16"/>
                <w:szCs w:val="16"/>
                <w:lang w:eastAsia="en-US"/>
              </w:rPr>
              <w:t>90</w:t>
            </w:r>
            <w:r>
              <w:rPr>
                <w:rFonts w:eastAsia="Calibri"/>
                <w:iCs/>
                <w:sz w:val="16"/>
                <w:szCs w:val="16"/>
                <w:lang w:eastAsia="en-US"/>
              </w:rPr>
              <w:t xml:space="preserve"> </w:t>
            </w:r>
            <w:r w:rsidRPr="00C37D4D">
              <w:rPr>
                <w:rFonts w:eastAsia="Calibri"/>
                <w:iCs/>
                <w:sz w:val="16"/>
                <w:szCs w:val="16"/>
                <w:lang w:eastAsia="en-US"/>
              </w:rPr>
              <w:t xml:space="preserve">mg/kg </w:t>
            </w:r>
            <w:proofErr w:type="spellStart"/>
            <w:r w:rsidRPr="00C37D4D">
              <w:rPr>
                <w:rFonts w:eastAsia="Calibri"/>
                <w:iCs/>
                <w:sz w:val="16"/>
                <w:szCs w:val="16"/>
                <w:lang w:eastAsia="en-US"/>
              </w:rPr>
              <w:t>bw</w:t>
            </w:r>
            <w:proofErr w:type="spellEnd"/>
            <w:r w:rsidRPr="00C37D4D">
              <w:rPr>
                <w:rFonts w:eastAsia="Calibri"/>
                <w:iCs/>
                <w:sz w:val="16"/>
                <w:szCs w:val="16"/>
                <w:lang w:eastAsia="en-US"/>
              </w:rPr>
              <w:t>/day</w:t>
            </w:r>
          </w:p>
        </w:tc>
      </w:tr>
      <w:tr w:rsidR="00C37D4D" w:rsidRPr="009E1039" w14:paraId="14AB9E6D"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2EAEC7E1" w14:textId="77777777"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14:paraId="0236D071" w14:textId="77777777" w:rsidR="00C37D4D" w:rsidRDefault="00C37D4D" w:rsidP="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scenario </w:t>
            </w:r>
            <w:r w:rsidRPr="00C37D4D">
              <w:rPr>
                <w:rFonts w:eastAsia="Calibri"/>
                <w:color w:val="000000"/>
                <w:sz w:val="16"/>
                <w:szCs w:val="16"/>
                <w:lang w:eastAsia="en-GB"/>
              </w:rPr>
              <w:t>11, 13, 15</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BE74064" w14:textId="77777777" w:rsidR="00C37D4D" w:rsidRDefault="00C37D4D" w:rsidP="00B25C64">
            <w:pPr>
              <w:spacing w:line="260" w:lineRule="atLeast"/>
              <w:rPr>
                <w:rFonts w:eastAsia="Calibri"/>
                <w:sz w:val="16"/>
                <w:szCs w:val="16"/>
                <w:lang w:eastAsia="en-US"/>
              </w:rPr>
            </w:pPr>
            <w:r>
              <w:rPr>
                <w:rFonts w:eastAsia="Calibri"/>
                <w:sz w:val="16"/>
                <w:szCs w:val="16"/>
                <w:lang w:eastAsia="en-US"/>
              </w:rPr>
              <w:t>General public (</w:t>
            </w:r>
            <w:r w:rsidR="00B25C64">
              <w:rPr>
                <w:rFonts w:eastAsia="Calibri"/>
                <w:sz w:val="16"/>
                <w:szCs w:val="16"/>
                <w:lang w:eastAsia="en-US"/>
              </w:rPr>
              <w:t>toddler</w:t>
            </w:r>
            <w:r>
              <w:rPr>
                <w:rFonts w:eastAsia="Calibri"/>
                <w:sz w:val="16"/>
                <w:szCs w:val="16"/>
                <w:lang w:eastAsia="en-US"/>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19DFECB" w14:textId="77777777" w:rsidR="00C37D4D" w:rsidRPr="009E1039" w:rsidRDefault="00C37D4D">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54480A2" w14:textId="77777777" w:rsidR="00C37D4D" w:rsidRDefault="00C37D4D">
            <w:pPr>
              <w:rPr>
                <w:rFonts w:eastAsia="Calibri"/>
                <w:iCs/>
                <w:sz w:val="16"/>
                <w:szCs w:val="16"/>
                <w:lang w:eastAsia="en-US"/>
              </w:rPr>
            </w:pPr>
            <w:r w:rsidRPr="00C37D4D">
              <w:rPr>
                <w:rFonts w:eastAsia="Calibri"/>
                <w:iCs/>
                <w:sz w:val="16"/>
                <w:szCs w:val="16"/>
                <w:lang w:eastAsia="en-US"/>
              </w:rPr>
              <w:t>1.</w:t>
            </w:r>
            <w:r w:rsidR="006B6453">
              <w:rPr>
                <w:rFonts w:eastAsia="Calibri"/>
                <w:iCs/>
                <w:sz w:val="16"/>
                <w:szCs w:val="16"/>
                <w:lang w:eastAsia="en-US"/>
              </w:rPr>
              <w:t>53</w:t>
            </w:r>
            <w:r w:rsidRPr="00C37D4D">
              <w:rPr>
                <w:rFonts w:eastAsia="Calibri"/>
                <w:iCs/>
                <w:sz w:val="16"/>
                <w:szCs w:val="16"/>
                <w:lang w:eastAsia="en-US"/>
              </w:rPr>
              <w:t xml:space="preserve"> mg/kg </w:t>
            </w:r>
            <w:proofErr w:type="spellStart"/>
            <w:r w:rsidRPr="00C37D4D">
              <w:rPr>
                <w:rFonts w:eastAsia="Calibri"/>
                <w:iCs/>
                <w:sz w:val="16"/>
                <w:szCs w:val="16"/>
                <w:lang w:eastAsia="en-US"/>
              </w:rPr>
              <w:t>bw</w:t>
            </w:r>
            <w:proofErr w:type="spellEnd"/>
            <w:r w:rsidRPr="00C37D4D">
              <w:rPr>
                <w:rFonts w:eastAsia="Calibri"/>
                <w:iCs/>
                <w:sz w:val="16"/>
                <w:szCs w:val="16"/>
                <w:lang w:eastAsia="en-US"/>
              </w:rPr>
              <w:t>/day</w:t>
            </w:r>
          </w:p>
          <w:p w14:paraId="1007C209" w14:textId="77777777" w:rsidR="00C37D4D" w:rsidRPr="00C37D4D" w:rsidRDefault="00C37D4D" w:rsidP="00C37D4D">
            <w:pPr>
              <w:jc w:val="center"/>
              <w:rPr>
                <w:rFonts w:eastAsia="Calibri"/>
                <w:sz w:val="16"/>
                <w:szCs w:val="16"/>
                <w:lang w:eastAsia="en-US"/>
              </w:rPr>
            </w:pPr>
          </w:p>
        </w:tc>
      </w:tr>
      <w:tr w:rsidR="00683599" w:rsidRPr="009E1039" w14:paraId="33AE52A9"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6E97632" w14:textId="77777777" w:rsidR="00683599" w:rsidRDefault="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Combined exposure</w:t>
            </w:r>
          </w:p>
          <w:p w14:paraId="1568114B" w14:textId="77777777" w:rsidR="00683599" w:rsidRDefault="00683599" w:rsidP="00683599">
            <w:pPr>
              <w:keepNext/>
              <w:widowControl w:val="0"/>
              <w:tabs>
                <w:tab w:val="center" w:pos="4536"/>
                <w:tab w:val="right" w:pos="9072"/>
              </w:tabs>
              <w:rPr>
                <w:rFonts w:eastAsia="Calibri"/>
                <w:color w:val="000000"/>
                <w:sz w:val="16"/>
                <w:szCs w:val="16"/>
                <w:lang w:eastAsia="en-GB"/>
              </w:rPr>
            </w:pPr>
            <w:r w:rsidRPr="00683599">
              <w:rPr>
                <w:rFonts w:eastAsia="Calibri"/>
                <w:color w:val="000000"/>
                <w:sz w:val="16"/>
                <w:szCs w:val="16"/>
                <w:lang w:eastAsia="en-GB"/>
              </w:rPr>
              <w:t xml:space="preserve">Scenario 1 (Tier 2), 7, 8, 9, 10, 12 </w:t>
            </w:r>
            <w:r>
              <w:rPr>
                <w:rFonts w:eastAsia="Calibri"/>
                <w:color w:val="000000"/>
                <w:sz w:val="16"/>
                <w:szCs w:val="16"/>
                <w:lang w:eastAsia="en-GB"/>
              </w:rPr>
              <w:t xml:space="preserve"> </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46C1567" w14:textId="77777777" w:rsidR="00683599" w:rsidRDefault="00683599" w:rsidP="00683599">
            <w:pPr>
              <w:spacing w:line="260" w:lineRule="atLeast"/>
              <w:rPr>
                <w:rFonts w:eastAsia="Calibri"/>
                <w:sz w:val="16"/>
                <w:szCs w:val="16"/>
                <w:lang w:eastAsia="en-US"/>
              </w:rPr>
            </w:pPr>
            <w:r>
              <w:rPr>
                <w:rFonts w:eastAsia="Calibri"/>
                <w:sz w:val="16"/>
                <w:szCs w:val="16"/>
                <w:lang w:eastAsia="en-US"/>
              </w:rPr>
              <w:t>Industrial workers (including exposure as 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517E023C" w14:textId="77777777" w:rsidR="00683599" w:rsidRDefault="00683599">
            <w:pPr>
              <w:spacing w:line="260" w:lineRule="atLeast"/>
              <w:rPr>
                <w:rFonts w:eastAsia="Calibri"/>
                <w:sz w:val="16"/>
                <w:szCs w:val="16"/>
                <w:lang w:eastAsia="en-US"/>
              </w:rPr>
            </w:pPr>
            <w:r>
              <w:rPr>
                <w:rFonts w:eastAsia="Calibri"/>
                <w:sz w:val="16"/>
                <w:szCs w:val="16"/>
                <w:lang w:eastAsia="en-US"/>
              </w:rPr>
              <w:t>2/gloves (scenario 1)</w:t>
            </w:r>
          </w:p>
          <w:p w14:paraId="6A288E43" w14:textId="77777777" w:rsidR="00683599" w:rsidRDefault="00683599">
            <w:pPr>
              <w:spacing w:line="260" w:lineRule="atLeast"/>
              <w:rPr>
                <w:rFonts w:eastAsia="Calibri"/>
                <w:sz w:val="16"/>
                <w:szCs w:val="16"/>
                <w:lang w:eastAsia="en-US"/>
              </w:rPr>
            </w:pPr>
            <w:r>
              <w:rPr>
                <w:rFonts w:eastAsia="Calibri"/>
                <w:sz w:val="16"/>
                <w:szCs w:val="16"/>
                <w:lang w:eastAsia="en-US"/>
              </w:rPr>
              <w:t>1/no PPE</w:t>
            </w:r>
          </w:p>
          <w:p w14:paraId="30E691B5" w14:textId="77777777" w:rsidR="00683599" w:rsidRPr="009E1039" w:rsidRDefault="00683599">
            <w:pPr>
              <w:spacing w:line="260" w:lineRule="atLeast"/>
              <w:rPr>
                <w:rFonts w:eastAsia="Calibri"/>
                <w:sz w:val="16"/>
                <w:szCs w:val="16"/>
                <w:lang w:eastAsia="en-US"/>
              </w:rPr>
            </w:pPr>
            <w:r>
              <w:rPr>
                <w:rFonts w:eastAsia="Calibri"/>
                <w:sz w:val="16"/>
                <w:szCs w:val="16"/>
                <w:lang w:eastAsia="en-US"/>
              </w:rPr>
              <w:t>(scenario 7-12)</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18709FC7" w14:textId="77777777" w:rsidR="00683599" w:rsidRPr="00C37D4D" w:rsidRDefault="00683599">
            <w:pPr>
              <w:rPr>
                <w:rFonts w:eastAsia="Calibri"/>
                <w:iCs/>
                <w:sz w:val="16"/>
                <w:szCs w:val="16"/>
                <w:lang w:eastAsia="en-US"/>
              </w:rPr>
            </w:pPr>
            <w:r>
              <w:rPr>
                <w:rFonts w:eastAsia="Calibri"/>
                <w:iCs/>
                <w:sz w:val="16"/>
                <w:szCs w:val="16"/>
                <w:lang w:eastAsia="en-US"/>
              </w:rPr>
              <w:t xml:space="preserve">2.04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683599" w:rsidRPr="009E1039" w14:paraId="140727BF" w14:textId="77777777"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1A5EE2B" w14:textId="77777777" w:rsidR="00683599" w:rsidRDefault="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14:paraId="15AEBA1F" w14:textId="77777777" w:rsidR="00683599" w:rsidRDefault="00683599" w:rsidP="00683599">
            <w:pPr>
              <w:keepNext/>
              <w:widowControl w:val="0"/>
              <w:tabs>
                <w:tab w:val="center" w:pos="4536"/>
                <w:tab w:val="right" w:pos="9072"/>
              </w:tabs>
              <w:rPr>
                <w:rFonts w:eastAsia="Calibri"/>
                <w:color w:val="000000"/>
                <w:sz w:val="16"/>
                <w:szCs w:val="16"/>
                <w:lang w:eastAsia="en-GB"/>
              </w:rPr>
            </w:pPr>
            <w:r w:rsidRPr="00683599">
              <w:rPr>
                <w:rFonts w:eastAsia="Calibri"/>
                <w:color w:val="000000"/>
                <w:sz w:val="16"/>
                <w:szCs w:val="16"/>
                <w:lang w:eastAsia="en-GB"/>
              </w:rPr>
              <w:t>Scenario 3, 4, 5, 7, 8, 9, 10, 12</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6B26EA36" w14:textId="77777777" w:rsidR="00683599" w:rsidRDefault="00683599" w:rsidP="00683599">
            <w:pPr>
              <w:spacing w:line="260" w:lineRule="atLeast"/>
              <w:rPr>
                <w:rFonts w:eastAsia="Calibri"/>
                <w:sz w:val="16"/>
                <w:szCs w:val="16"/>
                <w:lang w:eastAsia="en-US"/>
              </w:rPr>
            </w:pPr>
            <w:r>
              <w:rPr>
                <w:rFonts w:eastAsia="Calibri"/>
                <w:sz w:val="16"/>
                <w:szCs w:val="16"/>
                <w:lang w:eastAsia="en-US"/>
              </w:rPr>
              <w:t>Professional workers (including exposure as 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4EF4073D" w14:textId="77777777" w:rsidR="00683599" w:rsidRPr="009E1039" w:rsidRDefault="00683599">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14:paraId="02C67F1D" w14:textId="77777777" w:rsidR="00683599" w:rsidRPr="00C37D4D" w:rsidRDefault="00683599">
            <w:pPr>
              <w:rPr>
                <w:rFonts w:eastAsia="Calibri"/>
                <w:iCs/>
                <w:sz w:val="16"/>
                <w:szCs w:val="16"/>
                <w:lang w:eastAsia="en-US"/>
              </w:rPr>
            </w:pPr>
            <w:r>
              <w:rPr>
                <w:rFonts w:eastAsia="Calibri"/>
                <w:iCs/>
                <w:sz w:val="16"/>
                <w:szCs w:val="16"/>
                <w:lang w:eastAsia="en-US"/>
              </w:rPr>
              <w:t xml:space="preserve">4.10 mg/kg </w:t>
            </w:r>
            <w:proofErr w:type="spellStart"/>
            <w:r>
              <w:rPr>
                <w:rFonts w:eastAsia="Calibri"/>
                <w:iCs/>
                <w:sz w:val="16"/>
                <w:szCs w:val="16"/>
                <w:lang w:eastAsia="en-US"/>
              </w:rPr>
              <w:t>bw</w:t>
            </w:r>
            <w:proofErr w:type="spellEnd"/>
            <w:r>
              <w:rPr>
                <w:rFonts w:eastAsia="Calibri"/>
                <w:iCs/>
                <w:sz w:val="16"/>
                <w:szCs w:val="16"/>
                <w:lang w:eastAsia="en-US"/>
              </w:rPr>
              <w:t>/day</w:t>
            </w:r>
          </w:p>
        </w:tc>
      </w:tr>
    </w:tbl>
    <w:p w14:paraId="718C844E" w14:textId="77777777" w:rsidR="00CF59EF" w:rsidRDefault="000B5D37" w:rsidP="00172945">
      <w:pPr>
        <w:pStyle w:val="Heading3"/>
      </w:pPr>
      <w:r>
        <w:br w:type="page"/>
      </w:r>
      <w:bookmarkStart w:id="1516" w:name="_Toc403566577"/>
      <w:bookmarkStart w:id="1517" w:name="_Toc389729088"/>
      <w:bookmarkStart w:id="1518" w:name="_Toc531868671"/>
      <w:bookmarkEnd w:id="1516"/>
      <w:bookmarkEnd w:id="1517"/>
      <w:r>
        <w:lastRenderedPageBreak/>
        <w:t xml:space="preserve">Risk </w:t>
      </w:r>
      <w:proofErr w:type="spellStart"/>
      <w:r>
        <w:t>characterisation</w:t>
      </w:r>
      <w:proofErr w:type="spellEnd"/>
      <w:r>
        <w:t xml:space="preserve"> </w:t>
      </w:r>
      <w:proofErr w:type="spellStart"/>
      <w:r>
        <w:t>for</w:t>
      </w:r>
      <w:proofErr w:type="spellEnd"/>
      <w:r>
        <w:t xml:space="preserve"> human </w:t>
      </w:r>
      <w:proofErr w:type="spellStart"/>
      <w:r>
        <w:t>health</w:t>
      </w:r>
      <w:bookmarkEnd w:id="1518"/>
      <w:proofErr w:type="spellEnd"/>
    </w:p>
    <w:p w14:paraId="36BCA4D7" w14:textId="77777777" w:rsidR="00CF59EF" w:rsidRDefault="000B5D37">
      <w:pPr>
        <w:spacing w:line="260" w:lineRule="atLeast"/>
        <w:rPr>
          <w:rFonts w:eastAsia="Calibri"/>
          <w:b/>
          <w:bCs/>
          <w:lang w:eastAsia="en-US"/>
        </w:rPr>
      </w:pPr>
      <w:r>
        <w:rPr>
          <w:rFonts w:eastAsia="Calibri"/>
          <w:b/>
          <w:bCs/>
          <w:lang w:eastAsia="en-US"/>
        </w:rPr>
        <w:t>Reference values to be used in Risk Characterisation</w:t>
      </w:r>
    </w:p>
    <w:tbl>
      <w:tblPr>
        <w:tblW w:w="94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68"/>
        <w:gridCol w:w="1777"/>
        <w:gridCol w:w="1506"/>
        <w:gridCol w:w="724"/>
        <w:gridCol w:w="2265"/>
        <w:gridCol w:w="1489"/>
      </w:tblGrid>
      <w:tr w:rsidR="00CF59EF" w14:paraId="21C56550" w14:textId="77777777">
        <w:tc>
          <w:tcPr>
            <w:tcW w:w="166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E0C935C" w14:textId="77777777" w:rsidR="00CF59EF" w:rsidRDefault="000B5D37">
            <w:pPr>
              <w:spacing w:line="260" w:lineRule="atLeast"/>
              <w:rPr>
                <w:rFonts w:eastAsia="Calibri"/>
                <w:b/>
                <w:lang w:eastAsia="en-US"/>
              </w:rPr>
            </w:pPr>
            <w:r>
              <w:rPr>
                <w:rFonts w:eastAsia="Calibri"/>
                <w:b/>
                <w:lang w:eastAsia="en-US"/>
              </w:rPr>
              <w:t xml:space="preserve">Reference </w:t>
            </w:r>
          </w:p>
        </w:tc>
        <w:tc>
          <w:tcPr>
            <w:tcW w:w="177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37E26A9" w14:textId="77777777" w:rsidR="00CF59EF" w:rsidRDefault="000B5D37">
            <w:pPr>
              <w:spacing w:line="260" w:lineRule="atLeast"/>
              <w:rPr>
                <w:rFonts w:eastAsia="Calibri"/>
                <w:b/>
                <w:lang w:eastAsia="en-US"/>
              </w:rPr>
            </w:pPr>
            <w:r>
              <w:rPr>
                <w:rFonts w:eastAsia="Calibri"/>
                <w:b/>
                <w:lang w:eastAsia="en-US"/>
              </w:rPr>
              <w:t>Study</w:t>
            </w:r>
          </w:p>
        </w:tc>
        <w:tc>
          <w:tcPr>
            <w:tcW w:w="150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99DED25" w14:textId="77777777" w:rsidR="00CF59EF" w:rsidRDefault="000B5D37">
            <w:pPr>
              <w:spacing w:line="260" w:lineRule="atLeast"/>
              <w:rPr>
                <w:rFonts w:eastAsia="Calibri"/>
                <w:b/>
                <w:lang w:eastAsia="en-US"/>
              </w:rPr>
            </w:pPr>
            <w:r>
              <w:rPr>
                <w:rFonts w:eastAsia="Calibri"/>
                <w:b/>
                <w:lang w:eastAsia="en-US"/>
              </w:rPr>
              <w:t>NOAEL (LOAEL)</w:t>
            </w:r>
          </w:p>
        </w:tc>
        <w:tc>
          <w:tcPr>
            <w:tcW w:w="72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A9F96C9" w14:textId="77777777" w:rsidR="00CF59EF" w:rsidRDefault="000B5D37">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6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7685789" w14:textId="77777777" w:rsidR="00CF59EF" w:rsidRDefault="000B5D37">
            <w:pPr>
              <w:spacing w:line="260" w:lineRule="atLeast"/>
              <w:rPr>
                <w:rFonts w:eastAsia="Calibri"/>
                <w:b/>
                <w:lang w:eastAsia="en-US"/>
              </w:rPr>
            </w:pPr>
            <w:r>
              <w:rPr>
                <w:rFonts w:eastAsia="Calibri"/>
                <w:b/>
                <w:lang w:eastAsia="en-US"/>
              </w:rPr>
              <w:t>Correction for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8F31DA6" w14:textId="77777777" w:rsidR="00CF59EF" w:rsidRDefault="000B5D37">
            <w:pPr>
              <w:spacing w:line="260" w:lineRule="atLeast"/>
              <w:rPr>
                <w:rFonts w:eastAsia="Calibri"/>
                <w:b/>
                <w:lang w:eastAsia="en-US"/>
              </w:rPr>
            </w:pPr>
            <w:r>
              <w:rPr>
                <w:rFonts w:eastAsia="Calibri"/>
                <w:b/>
                <w:lang w:eastAsia="en-US"/>
              </w:rPr>
              <w:t>Value</w:t>
            </w:r>
          </w:p>
        </w:tc>
      </w:tr>
      <w:tr w:rsidR="00CF59EF" w14:paraId="2D57DF89" w14:textId="77777777">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CC7938" w14:textId="77777777" w:rsidR="00CF59EF" w:rsidRDefault="000B5D37">
            <w:pPr>
              <w:spacing w:line="260" w:lineRule="atLeast"/>
              <w:rPr>
                <w:rFonts w:eastAsia="Calibri"/>
                <w:lang w:eastAsia="en-US"/>
              </w:rPr>
            </w:pPr>
            <w:proofErr w:type="spellStart"/>
            <w:r>
              <w:rPr>
                <w:rFonts w:eastAsia="Calibri"/>
                <w:lang w:eastAsia="en-US"/>
              </w:rPr>
              <w:t>AELshort</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313F0" w14:textId="77777777" w:rsidR="00CF59EF" w:rsidRDefault="000B5D37">
            <w:pPr>
              <w:spacing w:line="260" w:lineRule="atLeast"/>
              <w:rPr>
                <w:rFonts w:eastAsia="Calibri"/>
                <w:lang w:eastAsia="en-US"/>
              </w:rPr>
            </w:pPr>
            <w:r>
              <w:rPr>
                <w:rFonts w:eastAsia="Calibri"/>
                <w:lang w:eastAsia="en-US"/>
              </w:rPr>
              <w:t xml:space="preserve">Multigeneration study with rats; supported by available subacute and </w:t>
            </w:r>
            <w:proofErr w:type="spellStart"/>
            <w:r>
              <w:rPr>
                <w:rFonts w:eastAsia="Calibri"/>
                <w:lang w:eastAsia="en-US"/>
              </w:rPr>
              <w:t>subchronic</w:t>
            </w:r>
            <w:proofErr w:type="spellEnd"/>
            <w:r>
              <w:rPr>
                <w:rFonts w:eastAsia="Calibri"/>
                <w:lang w:eastAsia="en-US"/>
              </w:rPr>
              <w:t xml:space="preserve"> data</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0B9AC"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FF35E" w14:textId="77777777"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84EF8" w14:textId="77777777"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A3033" w14:textId="77777777"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14:paraId="7D786DC2" w14:textId="77777777">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274E6F" w14:textId="77777777" w:rsidR="00CF59EF" w:rsidRDefault="000B5D37">
            <w:pPr>
              <w:spacing w:line="260" w:lineRule="atLeast"/>
              <w:rPr>
                <w:rFonts w:eastAsia="Calibri"/>
                <w:lang w:eastAsia="en-US"/>
              </w:rPr>
            </w:pPr>
            <w:proofErr w:type="spellStart"/>
            <w:r>
              <w:rPr>
                <w:rFonts w:eastAsia="Calibri"/>
                <w:lang w:eastAsia="en-US"/>
              </w:rPr>
              <w:t>AELmedium</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8ACA0" w14:textId="77777777" w:rsidR="00CF59EF" w:rsidRDefault="000B5D37">
            <w:pPr>
              <w:spacing w:line="260" w:lineRule="atLeast"/>
              <w:rPr>
                <w:rFonts w:eastAsia="Calibri"/>
                <w:lang w:eastAsia="en-US"/>
              </w:rPr>
            </w:pPr>
            <w:r>
              <w:rPr>
                <w:rFonts w:eastAsia="Calibri"/>
                <w:lang w:eastAsia="en-US"/>
              </w:rPr>
              <w:t xml:space="preserve">Multigeneration study with rats; supported by available subacute and </w:t>
            </w:r>
            <w:proofErr w:type="spellStart"/>
            <w:r>
              <w:rPr>
                <w:rFonts w:eastAsia="Calibri"/>
                <w:lang w:eastAsia="en-US"/>
              </w:rPr>
              <w:t>subchronic</w:t>
            </w:r>
            <w:proofErr w:type="spellEnd"/>
            <w:r>
              <w:rPr>
                <w:rFonts w:eastAsia="Calibri"/>
                <w:lang w:eastAsia="en-US"/>
              </w:rPr>
              <w:t xml:space="preserve"> data</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347B8"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356A1" w14:textId="77777777"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F30D6" w14:textId="77777777"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814D1E" w14:textId="77777777"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14:paraId="190D364D" w14:textId="77777777">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7A0F8" w14:textId="77777777" w:rsidR="00CF59EF" w:rsidRDefault="000B5D37">
            <w:pPr>
              <w:spacing w:line="260" w:lineRule="atLeast"/>
              <w:rPr>
                <w:rFonts w:eastAsia="Calibri"/>
                <w:lang w:eastAsia="en-US"/>
              </w:rPr>
            </w:pPr>
            <w:proofErr w:type="spellStart"/>
            <w:r>
              <w:rPr>
                <w:rFonts w:eastAsia="Calibri"/>
                <w:lang w:eastAsia="en-US"/>
              </w:rPr>
              <w:t>AELlong</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6F660" w14:textId="77777777" w:rsidR="00CF59EF" w:rsidRDefault="000B5D37">
            <w:pPr>
              <w:spacing w:line="260" w:lineRule="atLeast"/>
              <w:rPr>
                <w:rFonts w:eastAsia="Calibri"/>
                <w:lang w:eastAsia="en-US"/>
              </w:rPr>
            </w:pPr>
            <w:r>
              <w:rPr>
                <w:rFonts w:eastAsia="Calibri"/>
                <w:lang w:eastAsia="en-US"/>
              </w:rPr>
              <w:t>Multigeneration study with rats</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6A820"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CB926" w14:textId="77777777"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7EBBB" w14:textId="77777777"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B2166" w14:textId="77777777"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14:paraId="35D3EE82" w14:textId="77777777">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8DF59" w14:textId="77777777" w:rsidR="00CF59EF" w:rsidRDefault="000B5D37">
            <w:pPr>
              <w:spacing w:line="260" w:lineRule="atLeast"/>
              <w:rPr>
                <w:rFonts w:eastAsia="Calibri"/>
                <w:lang w:eastAsia="en-US"/>
              </w:rPr>
            </w:pPr>
            <w:proofErr w:type="spellStart"/>
            <w:r>
              <w:rPr>
                <w:rFonts w:eastAsia="Calibri"/>
                <w:lang w:eastAsia="en-US"/>
              </w:rPr>
              <w:t>ARfD</w:t>
            </w:r>
            <w:proofErr w:type="spellEnd"/>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D15B9" w14:textId="77777777" w:rsidR="00CF59EF" w:rsidRDefault="000B5D37">
            <w:pPr>
              <w:spacing w:line="260" w:lineRule="atLeast"/>
              <w:rPr>
                <w:rFonts w:eastAsia="Calibri"/>
                <w:lang w:eastAsia="en-US"/>
              </w:rPr>
            </w:pPr>
            <w:r>
              <w:rPr>
                <w:rFonts w:eastAsia="Calibri"/>
                <w:lang w:eastAsia="en-US"/>
              </w:rPr>
              <w:t>-</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7437B" w14:textId="77777777" w:rsidR="00CF59EF" w:rsidRDefault="000B5D37">
            <w:pPr>
              <w:spacing w:line="260" w:lineRule="atLeast"/>
              <w:rPr>
                <w:rFonts w:eastAsia="Calibri"/>
                <w:lang w:eastAsia="en-US"/>
              </w:rPr>
            </w:pPr>
            <w:r>
              <w:rPr>
                <w:rFonts w:eastAsia="Calibri"/>
                <w:lang w:eastAsia="en-US"/>
              </w:rPr>
              <w:t>-</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4A765" w14:textId="77777777" w:rsidR="00CF59EF" w:rsidRDefault="000B5D37">
            <w:pPr>
              <w:spacing w:line="260" w:lineRule="atLeast"/>
              <w:rPr>
                <w:rFonts w:eastAsia="Calibri"/>
                <w:lang w:eastAsia="en-US"/>
              </w:rPr>
            </w:pPr>
            <w:r>
              <w:rPr>
                <w:rFonts w:eastAsia="Calibri"/>
                <w:lang w:eastAsia="en-US"/>
              </w:rPr>
              <w:t>-</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467BC6" w14:textId="77777777" w:rsidR="00CF59EF" w:rsidRDefault="000B5D37">
            <w:pPr>
              <w:spacing w:line="260" w:lineRule="atLeast"/>
              <w:rPr>
                <w:rFonts w:eastAsia="Calibri"/>
                <w:lang w:eastAsia="en-US"/>
              </w:rPr>
            </w:pPr>
            <w:r>
              <w:rPr>
                <w:rFonts w:eastAsia="Calibri"/>
                <w:lang w:eastAsia="en-US"/>
              </w:rPr>
              <w:t>-</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7299B" w14:textId="77777777" w:rsidR="00CF59EF" w:rsidRDefault="000B5D37">
            <w:pPr>
              <w:spacing w:line="260" w:lineRule="atLeast"/>
              <w:rPr>
                <w:rFonts w:eastAsia="Calibri"/>
                <w:lang w:eastAsia="en-US"/>
              </w:rPr>
            </w:pPr>
            <w:r>
              <w:rPr>
                <w:rFonts w:eastAsia="Calibri"/>
                <w:lang w:eastAsia="en-US"/>
              </w:rPr>
              <w:t>Not derived</w:t>
            </w:r>
          </w:p>
        </w:tc>
      </w:tr>
      <w:tr w:rsidR="00CF59EF" w14:paraId="34846C72" w14:textId="77777777">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1CAD8" w14:textId="77777777" w:rsidR="00CF59EF" w:rsidRDefault="000B5D37">
            <w:pPr>
              <w:spacing w:line="260" w:lineRule="atLeast"/>
              <w:rPr>
                <w:rFonts w:eastAsia="Calibri"/>
                <w:lang w:eastAsia="en-US"/>
              </w:rPr>
            </w:pPr>
            <w:r>
              <w:rPr>
                <w:rFonts w:eastAsia="Calibri"/>
                <w:lang w:eastAsia="en-US"/>
              </w:rPr>
              <w:t>ADI</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F7D3D" w14:textId="77777777" w:rsidR="00CF59EF" w:rsidRDefault="000B5D37">
            <w:pPr>
              <w:spacing w:line="260" w:lineRule="atLeast"/>
              <w:rPr>
                <w:rFonts w:eastAsia="Calibri"/>
                <w:lang w:eastAsia="en-US"/>
              </w:rPr>
            </w:pPr>
            <w:r>
              <w:rPr>
                <w:rFonts w:eastAsia="Calibri"/>
                <w:lang w:eastAsia="en-US"/>
              </w:rPr>
              <w:t>Multigeneration study with rats</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44C8D" w14:textId="77777777"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98A52" w14:textId="77777777"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C6879" w14:textId="77777777"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0A707" w14:textId="77777777"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bl>
    <w:p w14:paraId="57410E08" w14:textId="77777777" w:rsidR="00CF59EF" w:rsidRDefault="000B5D37">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Please explain background and reason for assessment factor.</w:t>
      </w:r>
    </w:p>
    <w:p w14:paraId="75C420B8" w14:textId="77777777" w:rsidR="00CF59EF" w:rsidRDefault="00CF59EF">
      <w:pPr>
        <w:spacing w:line="260" w:lineRule="atLeast"/>
        <w:rPr>
          <w:rFonts w:ascii="Times New Roman" w:eastAsia="Calibri" w:hAnsi="Times New Roman"/>
          <w:i/>
          <w:iCs/>
          <w:lang w:eastAsia="en-US"/>
        </w:rPr>
      </w:pPr>
    </w:p>
    <w:p w14:paraId="00282E8E" w14:textId="77777777" w:rsidR="00CF59EF" w:rsidRDefault="000B5D37">
      <w:pPr>
        <w:spacing w:line="260" w:lineRule="atLeast"/>
        <w:rPr>
          <w:rFonts w:eastAsia="Calibri"/>
          <w:lang w:eastAsia="en-US"/>
        </w:rPr>
      </w:pPr>
      <w:r>
        <w:rPr>
          <w:rFonts w:eastAsia="Calibri"/>
          <w:lang w:eastAsia="en-US"/>
        </w:rPr>
        <w:t xml:space="preserve">For an analogue and a precursor of sodium benzoate, benzoic acid, the acute, medium- and long-term AEL of 5 mg/kg </w:t>
      </w:r>
      <w:proofErr w:type="spellStart"/>
      <w:r>
        <w:rPr>
          <w:rFonts w:eastAsia="Calibri"/>
          <w:lang w:eastAsia="en-US"/>
        </w:rPr>
        <w:t>bw</w:t>
      </w:r>
      <w:proofErr w:type="spellEnd"/>
      <w:r>
        <w:rPr>
          <w:rFonts w:eastAsia="Calibri"/>
          <w:lang w:eastAsia="en-US"/>
        </w:rPr>
        <w:t xml:space="preserve">/day has been derived under the BPR Review Programme for benzoic acid for PT3 and 4, using the NOAEL of 500 mg/kg </w:t>
      </w:r>
      <w:proofErr w:type="spellStart"/>
      <w:r>
        <w:rPr>
          <w:rFonts w:eastAsia="Calibri"/>
          <w:lang w:eastAsia="en-US"/>
        </w:rPr>
        <w:t>bw</w:t>
      </w:r>
      <w:proofErr w:type="spellEnd"/>
      <w:r>
        <w:rPr>
          <w:rFonts w:eastAsia="Calibri"/>
          <w:lang w:eastAsia="en-US"/>
        </w:rPr>
        <w:t>/day derived from a multi</w:t>
      </w:r>
      <w:r w:rsidR="00C92980">
        <w:rPr>
          <w:rFonts w:eastAsia="Calibri"/>
          <w:lang w:eastAsia="en-US"/>
        </w:rPr>
        <w:t>-</w:t>
      </w:r>
      <w:r>
        <w:rPr>
          <w:rFonts w:eastAsia="Calibri"/>
          <w:lang w:eastAsia="en-US"/>
        </w:rPr>
        <w:t xml:space="preserve">generation study with rats (2.2.6.3-1). This study was submitted as a part of the IUCLID active substance dataset within the current application. It has been published in  public literature and is no longer data-protected. In this study, no changes in body weight gain (data supplied only for up to 12/8 weeks for M/F) and histopathology of key organs performed after </w:t>
      </w:r>
      <w:proofErr w:type="spellStart"/>
      <w:r>
        <w:rPr>
          <w:rFonts w:eastAsia="Calibri"/>
          <w:lang w:eastAsia="en-US"/>
        </w:rPr>
        <w:t>wk</w:t>
      </w:r>
      <w:proofErr w:type="spellEnd"/>
      <w:r>
        <w:rPr>
          <w:rFonts w:eastAsia="Calibri"/>
          <w:lang w:eastAsia="en-US"/>
        </w:rPr>
        <w:t xml:space="preserve"> 16 were reported at the top dose of 500 mg/kg </w:t>
      </w:r>
      <w:proofErr w:type="spellStart"/>
      <w:r>
        <w:rPr>
          <w:rFonts w:eastAsia="Calibri"/>
          <w:lang w:eastAsia="en-US"/>
        </w:rPr>
        <w:t>bw</w:t>
      </w:r>
      <w:proofErr w:type="spellEnd"/>
      <w:r>
        <w:rPr>
          <w:rFonts w:eastAsia="Calibri"/>
          <w:lang w:eastAsia="en-US"/>
        </w:rPr>
        <w:t xml:space="preserve">/day benzoic acid. Survival at this dose remained unaffected. NOAELs reported in other studies were between 500 and 1360 mg/kg </w:t>
      </w:r>
      <w:proofErr w:type="spellStart"/>
      <w:r>
        <w:rPr>
          <w:rFonts w:eastAsia="Calibri"/>
          <w:lang w:eastAsia="en-US"/>
        </w:rPr>
        <w:t>bw</w:t>
      </w:r>
      <w:proofErr w:type="spellEnd"/>
      <w:r>
        <w:rPr>
          <w:rFonts w:eastAsia="Calibri"/>
          <w:lang w:eastAsia="en-US"/>
        </w:rPr>
        <w:t xml:space="preserve">/day (all other human toxicological studies included in the CAR of benzoic acid are </w:t>
      </w:r>
      <w:proofErr w:type="spellStart"/>
      <w:r>
        <w:rPr>
          <w:rFonts w:eastAsia="Calibri"/>
          <w:lang w:eastAsia="en-US"/>
        </w:rPr>
        <w:t>publically</w:t>
      </w:r>
      <w:proofErr w:type="spellEnd"/>
      <w:r>
        <w:rPr>
          <w:rFonts w:eastAsia="Calibri"/>
          <w:lang w:eastAsia="en-US"/>
        </w:rPr>
        <w:t xml:space="preserve"> available and are no longer data-protected). Mortalities and CNS effects observed at doses ≥ 1200 mg/kg </w:t>
      </w:r>
      <w:proofErr w:type="spellStart"/>
      <w:r>
        <w:rPr>
          <w:rFonts w:eastAsia="Calibri"/>
          <w:lang w:eastAsia="en-US"/>
        </w:rPr>
        <w:t>bw</w:t>
      </w:r>
      <w:proofErr w:type="spellEnd"/>
      <w:r>
        <w:rPr>
          <w:rFonts w:eastAsia="Calibri"/>
          <w:lang w:eastAsia="en-US"/>
        </w:rPr>
        <w:t xml:space="preserve">/day are considered to be related to metabolic acidosis after saturation of glycine and glucuronate conjugation pathways. By setting a default assessment factor of 100, an acute and medium-term AEL of 5 mg/kg </w:t>
      </w:r>
      <w:proofErr w:type="spellStart"/>
      <w:r>
        <w:rPr>
          <w:rFonts w:eastAsia="Calibri"/>
          <w:lang w:eastAsia="en-US"/>
        </w:rPr>
        <w:t>bw</w:t>
      </w:r>
      <w:proofErr w:type="spellEnd"/>
      <w:r>
        <w:rPr>
          <w:rFonts w:eastAsia="Calibri"/>
          <w:lang w:eastAsia="en-US"/>
        </w:rPr>
        <w:t xml:space="preserve">/day has been derived. Adverse toxic effects of benzoic acid were usually observed after repeated bolus doses within a short time. This can be explained by metabolic interference following saturation of the conjugation pathways and/or depletion of glycine/glucuronate. Thus, it appears unlikely that prolongation of exposure from </w:t>
      </w:r>
      <w:proofErr w:type="spellStart"/>
      <w:r>
        <w:rPr>
          <w:rFonts w:eastAsia="Calibri"/>
          <w:lang w:eastAsia="en-US"/>
        </w:rPr>
        <w:t>subchronic</w:t>
      </w:r>
      <w:proofErr w:type="spellEnd"/>
      <w:r>
        <w:rPr>
          <w:rFonts w:eastAsia="Calibri"/>
          <w:lang w:eastAsia="en-US"/>
        </w:rPr>
        <w:t xml:space="preserve"> to chronic aggravates benzoic acid toxicity. In addition, no additional target organs or adverse effects were reported after chronic exposure, neither in animals nor in humans from the use as food additive or therapeutic drug. Therefore, a NOAEL of 500 mg/kg </w:t>
      </w:r>
      <w:proofErr w:type="spellStart"/>
      <w:r>
        <w:rPr>
          <w:rFonts w:eastAsia="Calibri"/>
          <w:lang w:eastAsia="en-US"/>
        </w:rPr>
        <w:t>bw</w:t>
      </w:r>
      <w:proofErr w:type="spellEnd"/>
      <w:r>
        <w:rPr>
          <w:rFonts w:eastAsia="Calibri"/>
          <w:lang w:eastAsia="en-US"/>
        </w:rPr>
        <w:t xml:space="preserve">/d is considered as the relevant basis for setting a systemic reference dose for long-term exposure to benzoic acid. By setting a default assessment factor of 100, a long-term AEL of 5 mg/kg </w:t>
      </w:r>
      <w:proofErr w:type="spellStart"/>
      <w:r>
        <w:rPr>
          <w:rFonts w:eastAsia="Calibri"/>
          <w:lang w:eastAsia="en-US"/>
        </w:rPr>
        <w:t>bw</w:t>
      </w:r>
      <w:proofErr w:type="spellEnd"/>
      <w:r>
        <w:rPr>
          <w:rFonts w:eastAsia="Calibri"/>
          <w:lang w:eastAsia="en-US"/>
        </w:rPr>
        <w:t xml:space="preserve">/day has been derived for benzoic acid.  </w:t>
      </w:r>
    </w:p>
    <w:p w14:paraId="208EACDE" w14:textId="77777777" w:rsidR="00CF59EF" w:rsidRDefault="00CF59EF">
      <w:pPr>
        <w:spacing w:line="260" w:lineRule="atLeast"/>
        <w:rPr>
          <w:rFonts w:eastAsia="Calibri"/>
          <w:lang w:eastAsia="en-US"/>
        </w:rPr>
      </w:pPr>
    </w:p>
    <w:p w14:paraId="1C8A8BBB" w14:textId="77777777" w:rsidR="00CF59EF" w:rsidRDefault="000B5D37">
      <w:pPr>
        <w:spacing w:line="260" w:lineRule="atLeast"/>
        <w:rPr>
          <w:rFonts w:eastAsia="Calibri"/>
          <w:lang w:eastAsia="en-US"/>
        </w:rPr>
      </w:pPr>
      <w:r>
        <w:rPr>
          <w:rFonts w:eastAsia="Calibri"/>
          <w:lang w:eastAsia="en-US"/>
        </w:rPr>
        <w:lastRenderedPageBreak/>
        <w:t xml:space="preserve">The EFSA Panel on Food Additives and Nutrient Sources has evaluated benzoic acid and a number of benzoate salts, including sodium benzoate, in 2016 (2.2.6.3-2) and derived the AEI of 5 mg/kg </w:t>
      </w:r>
      <w:proofErr w:type="spellStart"/>
      <w:r>
        <w:rPr>
          <w:rFonts w:eastAsia="Calibri"/>
          <w:lang w:eastAsia="en-US"/>
        </w:rPr>
        <w:t>bw</w:t>
      </w:r>
      <w:proofErr w:type="spellEnd"/>
      <w:r>
        <w:rPr>
          <w:rFonts w:eastAsia="Calibri"/>
          <w:lang w:eastAsia="en-US"/>
        </w:rPr>
        <w:t xml:space="preserve">/day (expressed as benzoic acid) using the NOAEL of 500 mg/kg </w:t>
      </w:r>
      <w:proofErr w:type="spellStart"/>
      <w:r>
        <w:rPr>
          <w:rFonts w:eastAsia="Calibri"/>
          <w:lang w:eastAsia="en-US"/>
        </w:rPr>
        <w:t>bw</w:t>
      </w:r>
      <w:proofErr w:type="spellEnd"/>
      <w:r>
        <w:rPr>
          <w:rFonts w:eastAsia="Calibri"/>
          <w:lang w:eastAsia="en-US"/>
        </w:rPr>
        <w:t xml:space="preserve">/day from the same study and applying the default assessment factor of 100. </w:t>
      </w:r>
    </w:p>
    <w:p w14:paraId="0A1F46F3" w14:textId="77777777" w:rsidR="00CF59EF" w:rsidRDefault="00CF59EF">
      <w:pPr>
        <w:spacing w:line="260" w:lineRule="atLeast"/>
        <w:rPr>
          <w:rFonts w:eastAsia="Calibri"/>
          <w:lang w:eastAsia="en-US"/>
        </w:rPr>
      </w:pPr>
    </w:p>
    <w:p w14:paraId="6CF18CBA" w14:textId="77777777" w:rsidR="006F39CC" w:rsidRDefault="006F39CC">
      <w:pPr>
        <w:spacing w:line="260" w:lineRule="atLeast"/>
        <w:rPr>
          <w:rFonts w:eastAsia="Calibri"/>
          <w:lang w:eastAsia="en-US"/>
        </w:rPr>
      </w:pPr>
      <w:r>
        <w:rPr>
          <w:rFonts w:eastAsia="Calibri"/>
          <w:lang w:eastAsia="en-US"/>
        </w:rPr>
        <w:t xml:space="preserve">Also, the </w:t>
      </w:r>
      <w:proofErr w:type="spellStart"/>
      <w:r>
        <w:rPr>
          <w:rFonts w:eastAsia="Calibri"/>
          <w:lang w:eastAsia="en-US"/>
        </w:rPr>
        <w:t>a.s.</w:t>
      </w:r>
      <w:proofErr w:type="spellEnd"/>
      <w:r>
        <w:rPr>
          <w:rFonts w:eastAsia="Calibri"/>
          <w:lang w:eastAsia="en-US"/>
        </w:rPr>
        <w:t xml:space="preserve"> sodium benzoate used in the biocidal product is intended to be produced as food quality product adhering to the requirements of Commission regulation (EU) No 213/2012 for sodium benzoate (E211) (see Confidential information for the statement).</w:t>
      </w:r>
    </w:p>
    <w:p w14:paraId="09B09B1C" w14:textId="77777777" w:rsidR="006F39CC" w:rsidRDefault="006F39CC">
      <w:pPr>
        <w:spacing w:line="260" w:lineRule="atLeast"/>
        <w:rPr>
          <w:rFonts w:eastAsia="Calibri"/>
          <w:lang w:eastAsia="en-US"/>
        </w:rPr>
      </w:pPr>
    </w:p>
    <w:p w14:paraId="573B2510" w14:textId="77777777" w:rsidR="00CF59EF" w:rsidRDefault="000B5D37">
      <w:pPr>
        <w:spacing w:line="260" w:lineRule="atLeast"/>
        <w:rPr>
          <w:rFonts w:eastAsia="Calibri"/>
          <w:lang w:eastAsia="en-US"/>
        </w:rPr>
      </w:pPr>
      <w:r>
        <w:rPr>
          <w:rFonts w:eastAsia="Calibri"/>
          <w:lang w:eastAsia="en-US"/>
        </w:rPr>
        <w:t xml:space="preserve">Based on the above assessment of the toxicological data, the short-, medium- and long-term AEL and ADI of 5 mg/kg </w:t>
      </w:r>
      <w:proofErr w:type="spellStart"/>
      <w:r>
        <w:rPr>
          <w:rFonts w:eastAsia="Calibri"/>
          <w:lang w:eastAsia="en-US"/>
        </w:rPr>
        <w:t>bw</w:t>
      </w:r>
      <w:proofErr w:type="spellEnd"/>
      <w:r>
        <w:rPr>
          <w:rFonts w:eastAsia="Calibri"/>
          <w:lang w:eastAsia="en-US"/>
        </w:rPr>
        <w:t>/day (expressed as benzoic acid) shall be used in the risk assessment of sodium benzoate</w:t>
      </w:r>
      <w:r w:rsidR="006F39CC">
        <w:rPr>
          <w:rFonts w:eastAsia="Calibri"/>
          <w:lang w:eastAsia="en-US"/>
        </w:rPr>
        <w:t xml:space="preserve"> in this PAR</w:t>
      </w:r>
      <w:r>
        <w:rPr>
          <w:rFonts w:eastAsia="Calibri"/>
          <w:lang w:eastAsia="en-US"/>
        </w:rPr>
        <w:t xml:space="preserve">. </w:t>
      </w:r>
    </w:p>
    <w:p w14:paraId="1309B0E1" w14:textId="77777777" w:rsidR="00CF59EF" w:rsidRDefault="00CF59EF">
      <w:pPr>
        <w:spacing w:line="260" w:lineRule="atLeast"/>
        <w:rPr>
          <w:rFonts w:eastAsia="Calibri"/>
          <w:lang w:eastAsia="en-US"/>
        </w:rPr>
      </w:pPr>
    </w:p>
    <w:p w14:paraId="75D367F3" w14:textId="77777777" w:rsidR="00CF59EF" w:rsidRDefault="000B5D37">
      <w:pPr>
        <w:spacing w:line="260" w:lineRule="atLeast"/>
        <w:rPr>
          <w:rFonts w:eastAsia="Calibri"/>
          <w:b/>
          <w:bCs/>
          <w:lang w:eastAsia="en-US"/>
        </w:rPr>
      </w:pPr>
      <w:r>
        <w:rPr>
          <w:rFonts w:eastAsia="Calibri"/>
          <w:b/>
          <w:bCs/>
          <w:lang w:eastAsia="en-US"/>
        </w:rPr>
        <w:t>Maximum residue limits or equivalent</w:t>
      </w:r>
    </w:p>
    <w:p w14:paraId="4A47C8AB" w14:textId="77777777" w:rsidR="00CF59EF" w:rsidRDefault="00CF59EF">
      <w:pPr>
        <w:spacing w:line="260" w:lineRule="atLeast"/>
        <w:rPr>
          <w:rFonts w:eastAsia="Calibri"/>
          <w:b/>
          <w:bCs/>
          <w:lang w:eastAsia="en-US"/>
        </w:rPr>
      </w:pPr>
    </w:p>
    <w:p w14:paraId="3EEA1778" w14:textId="77777777" w:rsidR="00DF4B22" w:rsidRDefault="00DF4B22" w:rsidP="00DF4B22">
      <w:pPr>
        <w:spacing w:line="260" w:lineRule="atLeast"/>
        <w:rPr>
          <w:rFonts w:eastAsia="Calibri"/>
          <w:iCs/>
          <w:lang w:eastAsia="en-US"/>
        </w:rPr>
      </w:pPr>
      <w:r w:rsidRPr="00DF4B22">
        <w:rPr>
          <w:rFonts w:eastAsia="Calibri"/>
          <w:iCs/>
          <w:lang w:eastAsia="en-US"/>
        </w:rPr>
        <w:t>The maximum level (ML) for</w:t>
      </w:r>
      <w:r>
        <w:rPr>
          <w:rFonts w:eastAsia="Calibri"/>
          <w:iCs/>
          <w:lang w:eastAsia="en-US"/>
        </w:rPr>
        <w:t xml:space="preserve"> </w:t>
      </w:r>
      <w:r w:rsidRPr="00DF4B22">
        <w:rPr>
          <w:rFonts w:eastAsia="Calibri"/>
          <w:iCs/>
          <w:lang w:eastAsia="en-US"/>
        </w:rPr>
        <w:t>sodium benzoate as food additive E 211 is set to</w:t>
      </w:r>
      <w:r>
        <w:rPr>
          <w:rFonts w:eastAsia="Calibri"/>
          <w:iCs/>
          <w:lang w:eastAsia="en-US"/>
        </w:rPr>
        <w:t xml:space="preserve"> </w:t>
      </w:r>
      <w:r w:rsidRPr="00DF4B22">
        <w:rPr>
          <w:rFonts w:eastAsia="Calibri"/>
          <w:iCs/>
          <w:lang w:eastAsia="en-US"/>
        </w:rPr>
        <w:t>be 150 – 5000 mg/kg  depending on food commodity, according to EU database on Food Additives (https://webgate.ec.europa.eu/foods_system/main/)</w:t>
      </w:r>
      <w:r>
        <w:rPr>
          <w:rFonts w:eastAsia="Calibri"/>
          <w:iCs/>
          <w:lang w:eastAsia="en-US"/>
        </w:rPr>
        <w:t>.</w:t>
      </w:r>
    </w:p>
    <w:p w14:paraId="35933E25" w14:textId="77777777" w:rsidR="00CF59EF" w:rsidRDefault="00CF59EF">
      <w:pPr>
        <w:spacing w:line="260" w:lineRule="atLeast"/>
        <w:rPr>
          <w:rFonts w:eastAsia="Calibri"/>
          <w:lang w:eastAsia="en-US"/>
        </w:rPr>
      </w:pPr>
    </w:p>
    <w:p w14:paraId="6CC3EC54" w14:textId="77777777" w:rsidR="00CF59EF" w:rsidRDefault="000B5D37">
      <w:pPr>
        <w:spacing w:line="260" w:lineRule="atLeast"/>
        <w:rPr>
          <w:rFonts w:eastAsia="Calibri"/>
          <w:b/>
          <w:bCs/>
          <w:lang w:eastAsia="en-US"/>
        </w:rPr>
      </w:pPr>
      <w:r>
        <w:rPr>
          <w:rFonts w:eastAsia="Calibri"/>
          <w:b/>
          <w:bCs/>
          <w:lang w:eastAsia="en-US"/>
        </w:rPr>
        <w:t>Specific reference value for groundwater</w:t>
      </w:r>
    </w:p>
    <w:p w14:paraId="334E3905" w14:textId="77777777" w:rsidR="00CF59EF" w:rsidRDefault="00CF59EF">
      <w:pPr>
        <w:jc w:val="both"/>
        <w:rPr>
          <w:rFonts w:eastAsia="Calibri"/>
          <w:lang w:eastAsia="en-US"/>
        </w:rPr>
      </w:pPr>
    </w:p>
    <w:p w14:paraId="5AEE3ADF" w14:textId="77777777" w:rsidR="00CF59EF" w:rsidRDefault="000B5D37">
      <w:pPr>
        <w:jc w:val="both"/>
        <w:rPr>
          <w:rFonts w:eastAsia="Calibri"/>
          <w:lang w:eastAsia="en-US"/>
        </w:rPr>
      </w:pPr>
      <w:r>
        <w:rPr>
          <w:rFonts w:eastAsia="Calibri"/>
          <w:lang w:eastAsia="en-US"/>
        </w:rPr>
        <w:t xml:space="preserve">Not derived. </w:t>
      </w:r>
    </w:p>
    <w:p w14:paraId="005576D9" w14:textId="77777777" w:rsidR="00CF59EF" w:rsidRDefault="00CF59EF">
      <w:pPr>
        <w:spacing w:line="260" w:lineRule="atLeast"/>
        <w:jc w:val="both"/>
        <w:rPr>
          <w:rFonts w:eastAsia="Calibri"/>
          <w:lang w:eastAsia="en-US"/>
        </w:rPr>
      </w:pPr>
    </w:p>
    <w:p w14:paraId="69BD23A5" w14:textId="77777777" w:rsidR="00CF59EF" w:rsidRDefault="000B5D37">
      <w:pPr>
        <w:rPr>
          <w:rFonts w:eastAsia="Calibri"/>
          <w:b/>
          <w:i/>
          <w:sz w:val="22"/>
          <w:szCs w:val="22"/>
        </w:rPr>
      </w:pPr>
      <w:bookmarkStart w:id="1519" w:name="_Toc389729089"/>
      <w:bookmarkStart w:id="1520" w:name="_Toc403472775"/>
      <w:bookmarkEnd w:id="1519"/>
      <w:bookmarkEnd w:id="1520"/>
      <w:r>
        <w:rPr>
          <w:rFonts w:eastAsia="Calibri"/>
          <w:b/>
          <w:i/>
          <w:sz w:val="22"/>
          <w:szCs w:val="22"/>
        </w:rPr>
        <w:t>Risk for industrial users</w:t>
      </w:r>
    </w:p>
    <w:p w14:paraId="180D4F5B" w14:textId="77777777" w:rsidR="00CF59EF" w:rsidRDefault="00CF59EF">
      <w:pPr>
        <w:rPr>
          <w:rFonts w:eastAsia="Calibri"/>
          <w:b/>
          <w:i/>
          <w:sz w:val="22"/>
          <w:szCs w:val="22"/>
        </w:rPr>
      </w:pPr>
    </w:p>
    <w:p w14:paraId="51AA12D3" w14:textId="77777777" w:rsidR="00CF59EF" w:rsidRDefault="000B5D37">
      <w:pPr>
        <w:spacing w:line="260" w:lineRule="atLeast"/>
        <w:rPr>
          <w:rFonts w:eastAsia="Calibri"/>
          <w:b/>
          <w:bCs/>
          <w:lang w:eastAsia="en-US"/>
        </w:rPr>
      </w:pPr>
      <w:r>
        <w:rPr>
          <w:rFonts w:eastAsia="Calibri"/>
          <w:b/>
          <w:bCs/>
          <w:lang w:eastAsia="en-US"/>
        </w:rPr>
        <w:t xml:space="preserve">Systemic effects </w:t>
      </w:r>
    </w:p>
    <w:tbl>
      <w:tblPr>
        <w:tblW w:w="935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74"/>
        <w:gridCol w:w="1041"/>
        <w:gridCol w:w="1610"/>
        <w:gridCol w:w="990"/>
        <w:gridCol w:w="1401"/>
        <w:gridCol w:w="1404"/>
        <w:gridCol w:w="1536"/>
      </w:tblGrid>
      <w:tr w:rsidR="00CF59EF" w14:paraId="389244F4" w14:textId="77777777" w:rsidTr="003F6921">
        <w:tc>
          <w:tcPr>
            <w:tcW w:w="137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4A10E69" w14:textId="77777777" w:rsidR="00CF59EF" w:rsidRDefault="000B5D37">
            <w:pPr>
              <w:spacing w:line="260" w:lineRule="atLeast"/>
              <w:rPr>
                <w:rFonts w:eastAsia="Calibri"/>
                <w:b/>
                <w:lang w:eastAsia="en-US"/>
              </w:rPr>
            </w:pPr>
            <w:r>
              <w:rPr>
                <w:rFonts w:eastAsia="Calibri"/>
                <w:b/>
                <w:lang w:eastAsia="en-US"/>
              </w:rPr>
              <w:t>Task/</w:t>
            </w:r>
          </w:p>
          <w:p w14:paraId="31B278E2" w14:textId="77777777" w:rsidR="00CF59EF" w:rsidRDefault="000B5D37">
            <w:pPr>
              <w:spacing w:line="260" w:lineRule="atLeast"/>
              <w:rPr>
                <w:rFonts w:eastAsia="Calibri"/>
                <w:b/>
                <w:lang w:eastAsia="en-US"/>
              </w:rPr>
            </w:pPr>
            <w:r>
              <w:rPr>
                <w:rFonts w:eastAsia="Calibri"/>
                <w:b/>
                <w:lang w:eastAsia="en-US"/>
              </w:rPr>
              <w:t>Scenario</w:t>
            </w:r>
          </w:p>
        </w:tc>
        <w:tc>
          <w:tcPr>
            <w:tcW w:w="104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6D44C6C" w14:textId="77777777" w:rsidR="00CF59EF" w:rsidRDefault="000B5D37">
            <w:pPr>
              <w:spacing w:line="260" w:lineRule="atLeast"/>
              <w:rPr>
                <w:rFonts w:eastAsia="Calibri"/>
                <w:b/>
                <w:lang w:eastAsia="en-US"/>
              </w:rPr>
            </w:pPr>
            <w:r>
              <w:rPr>
                <w:rFonts w:eastAsia="Calibri"/>
                <w:b/>
                <w:lang w:eastAsia="en-US"/>
              </w:rPr>
              <w:t>Tier</w:t>
            </w:r>
          </w:p>
        </w:tc>
        <w:tc>
          <w:tcPr>
            <w:tcW w:w="161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984884D" w14:textId="77777777" w:rsidR="00CF59EF" w:rsidRDefault="000B5D37">
            <w:pPr>
              <w:spacing w:line="260" w:lineRule="atLeast"/>
              <w:rPr>
                <w:rFonts w:eastAsia="Calibri"/>
                <w:b/>
                <w:lang w:eastAsia="en-US"/>
              </w:rPr>
            </w:pPr>
            <w:r>
              <w:rPr>
                <w:rFonts w:eastAsia="Calibri"/>
                <w:b/>
                <w:lang w:eastAsia="en-US"/>
              </w:rPr>
              <w:t>Systemic NOAEL</w:t>
            </w:r>
          </w:p>
          <w:p w14:paraId="2C6DCD3D"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B6759C8" w14:textId="77777777" w:rsidR="00CF59EF" w:rsidRDefault="000B5D37">
            <w:pPr>
              <w:spacing w:line="260" w:lineRule="atLeast"/>
              <w:rPr>
                <w:rFonts w:eastAsia="Calibri"/>
                <w:b/>
                <w:lang w:val="es-ES" w:eastAsia="en-US"/>
              </w:rPr>
            </w:pPr>
            <w:r>
              <w:rPr>
                <w:rFonts w:eastAsia="Calibri"/>
                <w:b/>
                <w:lang w:val="es-ES" w:eastAsia="en-US"/>
              </w:rPr>
              <w:t>AEL</w:t>
            </w:r>
          </w:p>
          <w:p w14:paraId="16EBFF1D"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0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6A6AA83" w14:textId="77777777" w:rsidR="00CF59EF" w:rsidRDefault="000B5D37">
            <w:pPr>
              <w:spacing w:line="260" w:lineRule="atLeast"/>
              <w:rPr>
                <w:rFonts w:eastAsia="Calibri"/>
                <w:b/>
                <w:lang w:eastAsia="en-US"/>
              </w:rPr>
            </w:pPr>
            <w:r>
              <w:rPr>
                <w:rFonts w:eastAsia="Calibri"/>
                <w:b/>
                <w:lang w:eastAsia="en-US"/>
              </w:rPr>
              <w:t>Estimated uptake</w:t>
            </w:r>
          </w:p>
          <w:p w14:paraId="72E85F85"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0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7A55BF0"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7DC4F24E" w14:textId="77777777" w:rsidR="00CF59EF" w:rsidRDefault="000B5D37">
            <w:pPr>
              <w:spacing w:line="260" w:lineRule="atLeast"/>
              <w:rPr>
                <w:rFonts w:eastAsia="Calibri"/>
                <w:b/>
                <w:lang w:eastAsia="en-US"/>
              </w:rPr>
            </w:pPr>
            <w:r>
              <w:rPr>
                <w:rFonts w:eastAsia="Calibri"/>
                <w:b/>
                <w:lang w:eastAsia="en-US"/>
              </w:rPr>
              <w:t>(%)</w:t>
            </w:r>
          </w:p>
        </w:tc>
        <w:tc>
          <w:tcPr>
            <w:tcW w:w="153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7909EAA" w14:textId="77777777" w:rsidR="00CF59EF" w:rsidRDefault="000B5D37">
            <w:pPr>
              <w:spacing w:line="260" w:lineRule="atLeast"/>
              <w:rPr>
                <w:rFonts w:eastAsia="Calibri"/>
                <w:b/>
                <w:lang w:eastAsia="en-US"/>
              </w:rPr>
            </w:pPr>
            <w:r>
              <w:rPr>
                <w:rFonts w:eastAsia="Calibri"/>
                <w:b/>
                <w:lang w:eastAsia="en-US"/>
              </w:rPr>
              <w:t>Acceptable</w:t>
            </w:r>
          </w:p>
          <w:p w14:paraId="52238AD7" w14:textId="77777777" w:rsidR="00CF59EF" w:rsidRDefault="000B5D37">
            <w:pPr>
              <w:spacing w:line="260" w:lineRule="atLeast"/>
              <w:rPr>
                <w:rFonts w:eastAsia="Calibri"/>
                <w:b/>
                <w:lang w:eastAsia="en-US"/>
              </w:rPr>
            </w:pPr>
            <w:r>
              <w:rPr>
                <w:rFonts w:eastAsia="Calibri"/>
                <w:b/>
                <w:lang w:eastAsia="en-US"/>
              </w:rPr>
              <w:t>(yes/no)</w:t>
            </w:r>
          </w:p>
        </w:tc>
      </w:tr>
      <w:tr w:rsidR="00CF59EF" w14:paraId="5BF43B18" w14:textId="77777777" w:rsidTr="003F6921">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C1F3A" w14:textId="77777777" w:rsidR="00CF59EF" w:rsidRDefault="000B5D37">
            <w:pPr>
              <w:spacing w:line="260" w:lineRule="atLeast"/>
              <w:rPr>
                <w:rFonts w:eastAsia="Calibri"/>
                <w:lang w:eastAsia="en-US"/>
              </w:rPr>
            </w:pPr>
            <w:r>
              <w:rPr>
                <w:rFonts w:eastAsia="Calibri"/>
                <w:lang w:eastAsia="en-US"/>
              </w:rPr>
              <w:t>Scenario 1: addition of the biocidal product to the treated articles (mixing and loading)</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6E50F" w14:textId="77777777" w:rsidR="00CF59EF" w:rsidRDefault="003F6921">
            <w:pPr>
              <w:spacing w:line="260" w:lineRule="atLeast"/>
              <w:rPr>
                <w:rFonts w:eastAsia="Calibri"/>
                <w:lang w:eastAsia="en-US"/>
              </w:rPr>
            </w:pPr>
            <w:r>
              <w:rPr>
                <w:rFonts w:eastAsia="Calibri"/>
                <w:lang w:eastAsia="en-US"/>
              </w:rPr>
              <w:t>Tier 1/no PPE</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E6D5B" w14:textId="77777777" w:rsidR="00CF59EF" w:rsidRDefault="003F6921">
            <w:pPr>
              <w:spacing w:line="260" w:lineRule="atLeast"/>
              <w:rPr>
                <w:rFonts w:eastAsia="Calibri"/>
                <w:lang w:eastAsia="en-US"/>
              </w:rPr>
            </w:pPr>
            <w:r>
              <w:rPr>
                <w:rFonts w:eastAsia="Calibri"/>
                <w:lang w:eastAsia="en-US"/>
              </w:rPr>
              <w:t>500</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760E1B" w14:textId="77777777" w:rsidR="00CF59EF" w:rsidRDefault="003F6921">
            <w:pPr>
              <w:spacing w:line="260" w:lineRule="atLeast"/>
              <w:rPr>
                <w:rFonts w:eastAsia="Calibri"/>
                <w:lang w:eastAsia="en-US"/>
              </w:rPr>
            </w:pPr>
            <w:r>
              <w:rPr>
                <w:rFonts w:eastAsia="Calibri"/>
                <w:lang w:eastAsia="en-US"/>
              </w:rPr>
              <w:t>5</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7F7AE" w14:textId="77777777" w:rsidR="00CF59EF" w:rsidRDefault="00EA5E4D" w:rsidP="00EA5E4D">
            <w:pPr>
              <w:spacing w:line="260" w:lineRule="atLeast"/>
              <w:rPr>
                <w:rFonts w:eastAsia="Calibri"/>
                <w:lang w:eastAsia="en-US"/>
              </w:rPr>
            </w:pPr>
            <w:r>
              <w:rPr>
                <w:rFonts w:eastAsia="Calibri"/>
                <w:lang w:eastAsia="en-US"/>
              </w:rPr>
              <w:t>114.4</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587D4" w14:textId="77777777" w:rsidR="00CF59EF" w:rsidRDefault="00B038DA" w:rsidP="00EA5E4D">
            <w:pPr>
              <w:spacing w:line="260" w:lineRule="atLeast"/>
              <w:rPr>
                <w:rFonts w:eastAsia="Calibri"/>
                <w:lang w:eastAsia="en-US"/>
              </w:rPr>
            </w:pPr>
            <w:r>
              <w:rPr>
                <w:rFonts w:eastAsia="Calibri"/>
                <w:lang w:eastAsia="en-US"/>
              </w:rPr>
              <w:t>2288</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8C401" w14:textId="77777777" w:rsidR="00CF59EF" w:rsidRDefault="003F6921">
            <w:pPr>
              <w:spacing w:line="260" w:lineRule="atLeast"/>
              <w:rPr>
                <w:rFonts w:eastAsia="Calibri"/>
                <w:lang w:eastAsia="en-US"/>
              </w:rPr>
            </w:pPr>
            <w:r>
              <w:rPr>
                <w:rFonts w:eastAsia="Calibri"/>
                <w:lang w:eastAsia="en-US"/>
              </w:rPr>
              <w:t>no</w:t>
            </w:r>
          </w:p>
        </w:tc>
      </w:tr>
      <w:tr w:rsidR="003F6921" w14:paraId="02220E88" w14:textId="77777777" w:rsidTr="003F6921">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BF4AA" w14:textId="77777777" w:rsidR="003F6921" w:rsidRDefault="003F6921">
            <w:pPr>
              <w:spacing w:line="260" w:lineRule="atLeast"/>
              <w:rPr>
                <w:rFonts w:eastAsia="Calibri"/>
                <w:lang w:eastAsia="en-US"/>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5FBA4" w14:textId="77777777" w:rsidR="003F6921" w:rsidRDefault="003F6921">
            <w:pPr>
              <w:spacing w:line="260" w:lineRule="atLeast"/>
              <w:rPr>
                <w:rFonts w:eastAsia="Calibri"/>
                <w:lang w:eastAsia="en-US"/>
              </w:rPr>
            </w:pPr>
            <w:r>
              <w:rPr>
                <w:rFonts w:eastAsia="Calibri"/>
                <w:lang w:eastAsia="en-US"/>
              </w:rPr>
              <w:t>Tier 2/ PPE (gloves)</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03B346" w14:textId="77777777" w:rsidR="003F6921" w:rsidRDefault="003F6921">
            <w:pPr>
              <w:spacing w:line="260" w:lineRule="atLeast"/>
              <w:rPr>
                <w:rFonts w:eastAsia="Calibri"/>
                <w:lang w:eastAsia="en-US"/>
              </w:rPr>
            </w:pPr>
            <w:r>
              <w:rPr>
                <w:rFonts w:eastAsia="Calibri"/>
                <w:lang w:eastAsia="en-US"/>
              </w:rPr>
              <w:t xml:space="preserve">500 </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13F19" w14:textId="77777777" w:rsidR="003F6921" w:rsidRDefault="003F6921">
            <w:pPr>
              <w:spacing w:line="260" w:lineRule="atLeast"/>
              <w:rPr>
                <w:rFonts w:eastAsia="Calibri"/>
                <w:lang w:eastAsia="en-US"/>
              </w:rPr>
            </w:pPr>
            <w:r>
              <w:rPr>
                <w:rFonts w:eastAsia="Calibri"/>
                <w:lang w:eastAsia="en-US"/>
              </w:rPr>
              <w:t>5</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DE848B" w14:textId="77777777" w:rsidR="003F6921" w:rsidRDefault="00EA5E4D" w:rsidP="00EA5E4D">
            <w:pPr>
              <w:spacing w:line="260" w:lineRule="atLeast"/>
              <w:rPr>
                <w:rFonts w:eastAsia="Calibri"/>
                <w:lang w:eastAsia="en-US"/>
              </w:rPr>
            </w:pPr>
            <w:r w:rsidRPr="002C30D1">
              <w:rPr>
                <w:rFonts w:eastAsia="Calibri"/>
                <w:highlight w:val="yellow"/>
                <w:lang w:eastAsia="en-US"/>
              </w:rPr>
              <w:t>1.</w:t>
            </w:r>
            <w:r w:rsidR="00551EAD" w:rsidRPr="002C30D1">
              <w:rPr>
                <w:rFonts w:eastAsia="Calibri"/>
                <w:highlight w:val="yellow"/>
                <w:lang w:eastAsia="en-US"/>
              </w:rPr>
              <w:t>12</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8F6F88" w14:textId="77777777" w:rsidR="003F6921" w:rsidRDefault="00B038DA" w:rsidP="00B038DA">
            <w:pPr>
              <w:spacing w:line="260" w:lineRule="atLeast"/>
              <w:rPr>
                <w:rFonts w:eastAsia="Calibri"/>
                <w:lang w:eastAsia="en-US"/>
              </w:rPr>
            </w:pPr>
            <w:r w:rsidRPr="002C30D1">
              <w:rPr>
                <w:rFonts w:eastAsia="Calibri"/>
                <w:highlight w:val="yellow"/>
                <w:lang w:eastAsia="en-US"/>
              </w:rPr>
              <w:t>22.</w:t>
            </w:r>
            <w:r w:rsidR="00551EAD" w:rsidRPr="002C30D1">
              <w:rPr>
                <w:rFonts w:eastAsia="Calibri"/>
                <w:highlight w:val="yellow"/>
                <w:lang w:eastAsia="en-US"/>
              </w:rPr>
              <w:t>4</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6A699" w14:textId="77777777" w:rsidR="003F6921" w:rsidRDefault="003F6921">
            <w:pPr>
              <w:spacing w:line="260" w:lineRule="atLeast"/>
              <w:rPr>
                <w:rFonts w:eastAsia="Calibri"/>
                <w:lang w:eastAsia="en-US"/>
              </w:rPr>
            </w:pPr>
            <w:r>
              <w:rPr>
                <w:rFonts w:eastAsia="Calibri"/>
                <w:lang w:eastAsia="en-US"/>
              </w:rPr>
              <w:t>yes</w:t>
            </w:r>
          </w:p>
        </w:tc>
      </w:tr>
    </w:tbl>
    <w:p w14:paraId="6F942DCD" w14:textId="77777777" w:rsidR="009E1039" w:rsidRDefault="009E1039">
      <w:pPr>
        <w:spacing w:line="260" w:lineRule="atLeast"/>
        <w:rPr>
          <w:rFonts w:eastAsia="Calibri"/>
          <w:b/>
          <w:bCs/>
          <w:lang w:eastAsia="en-US"/>
        </w:rPr>
      </w:pPr>
    </w:p>
    <w:p w14:paraId="22AE0CBC" w14:textId="77777777" w:rsidR="00CF59EF" w:rsidRDefault="000B5D37">
      <w:pPr>
        <w:spacing w:line="260" w:lineRule="atLeast"/>
        <w:rPr>
          <w:rFonts w:eastAsia="Calibri"/>
          <w:b/>
          <w:bCs/>
          <w:lang w:eastAsia="en-US"/>
        </w:rPr>
      </w:pPr>
      <w:r>
        <w:rPr>
          <w:rFonts w:eastAsia="Calibri"/>
          <w:b/>
          <w:bCs/>
          <w:lang w:eastAsia="en-US"/>
        </w:rPr>
        <w:t>Combined scenarios</w:t>
      </w:r>
    </w:p>
    <w:p w14:paraId="0A2B4B10" w14:textId="77777777" w:rsidR="00CF59EF" w:rsidRDefault="000B5D37">
      <w:pPr>
        <w:spacing w:line="260" w:lineRule="atLeast"/>
        <w:rPr>
          <w:rFonts w:eastAsia="Calibri"/>
          <w:iCs/>
          <w:lang w:eastAsia="en-US"/>
        </w:rPr>
      </w:pPr>
      <w:r>
        <w:rPr>
          <w:rFonts w:eastAsia="Calibri"/>
          <w:iCs/>
          <w:lang w:eastAsia="en-US"/>
        </w:rPr>
        <w:t xml:space="preserve">No combined exposure scenarios are envisaged for industrial users. </w:t>
      </w:r>
    </w:p>
    <w:p w14:paraId="39EB5238" w14:textId="77777777" w:rsidR="00CF59EF" w:rsidRDefault="00CF59EF">
      <w:pPr>
        <w:spacing w:line="260" w:lineRule="atLeast"/>
        <w:rPr>
          <w:rFonts w:eastAsia="Calibri"/>
          <w:lang w:eastAsia="en-US"/>
        </w:rPr>
      </w:pPr>
    </w:p>
    <w:p w14:paraId="13BE0B08" w14:textId="77777777" w:rsidR="00CF59EF" w:rsidRDefault="000B5D37">
      <w:pPr>
        <w:spacing w:line="260" w:lineRule="atLeast"/>
        <w:rPr>
          <w:rFonts w:eastAsia="Calibri"/>
          <w:b/>
          <w:bCs/>
          <w:lang w:eastAsia="en-US"/>
        </w:rPr>
      </w:pPr>
      <w:bookmarkStart w:id="1521" w:name="_Toc367976987"/>
      <w:bookmarkEnd w:id="1521"/>
      <w:r>
        <w:rPr>
          <w:rFonts w:eastAsia="Calibri"/>
          <w:b/>
          <w:bCs/>
          <w:lang w:eastAsia="en-US"/>
        </w:rPr>
        <w:t>Local effects</w:t>
      </w:r>
    </w:p>
    <w:p w14:paraId="7CB9FFD4" w14:textId="77777777" w:rsidR="00CF59EF" w:rsidRDefault="000B5D37">
      <w:pPr>
        <w:spacing w:line="260" w:lineRule="atLeast"/>
        <w:rPr>
          <w:rFonts w:eastAsia="Calibri"/>
          <w:lang w:eastAsia="en-US"/>
        </w:rPr>
      </w:pPr>
      <w:r>
        <w:rPr>
          <w:rFonts w:eastAsia="Calibri"/>
          <w:lang w:eastAsia="en-US"/>
        </w:rPr>
        <w:t>Sodium benzoate causes eye irritation; a qua</w:t>
      </w:r>
      <w:r w:rsidR="00121190">
        <w:rPr>
          <w:rFonts w:eastAsia="Calibri"/>
          <w:lang w:eastAsia="en-US"/>
        </w:rPr>
        <w:t>l</w:t>
      </w:r>
      <w:r>
        <w:rPr>
          <w:rFonts w:eastAsia="Calibri"/>
          <w:lang w:eastAsia="en-US"/>
        </w:rPr>
        <w:t xml:space="preserve">itative risk assessment for this effect has been performed as summarized in the table below. The risk was concluded to be acceptable for all </w:t>
      </w:r>
      <w:r w:rsidR="004248D6">
        <w:rPr>
          <w:rFonts w:eastAsia="Calibri"/>
          <w:lang w:eastAsia="en-US"/>
        </w:rPr>
        <w:t xml:space="preserve">industrial </w:t>
      </w:r>
      <w:r>
        <w:rPr>
          <w:rFonts w:eastAsia="Calibri"/>
          <w:lang w:eastAsia="en-US"/>
        </w:rPr>
        <w:t xml:space="preserve">uses. Considering the product will be used by trained </w:t>
      </w:r>
      <w:r>
        <w:rPr>
          <w:rFonts w:eastAsia="Calibri"/>
          <w:lang w:eastAsia="en-US"/>
        </w:rPr>
        <w:lastRenderedPageBreak/>
        <w:t xml:space="preserve">professionals, risk of adverse effects is considered to be minimized by following the instructions carried on the label and good working practices. </w:t>
      </w:r>
    </w:p>
    <w:p w14:paraId="069864A0" w14:textId="77777777" w:rsidR="00CF59EF" w:rsidRDefault="00CF59EF">
      <w:pPr>
        <w:rPr>
          <w:rFonts w:eastAsia="Calibri"/>
          <w:lang w:eastAsia="en-US"/>
        </w:rPr>
        <w:sectPr w:rsidR="00CF59EF">
          <w:headerReference w:type="default" r:id="rId23"/>
          <w:footerReference w:type="default" r:id="rId24"/>
          <w:pgSz w:w="11906" w:h="16838"/>
          <w:pgMar w:top="1474" w:right="1247" w:bottom="2013" w:left="1446" w:header="850" w:footer="850" w:gutter="0"/>
          <w:cols w:space="708"/>
          <w:formProt w:val="0"/>
          <w:docGrid w:linePitch="272" w:charSpace="2047"/>
        </w:sectPr>
      </w:pPr>
    </w:p>
    <w:p w14:paraId="1F59044D" w14:textId="77777777" w:rsidR="00CF59EF" w:rsidRDefault="00CF59EF">
      <w:pPr>
        <w:spacing w:line="260" w:lineRule="atLeast"/>
        <w:rPr>
          <w:rFonts w:eastAsia="Calibri"/>
          <w:lang w:eastAsia="en-US"/>
        </w:rPr>
      </w:pPr>
    </w:p>
    <w:tbl>
      <w:tblPr>
        <w:tblStyle w:val="TableGrid"/>
        <w:tblW w:w="13569" w:type="dxa"/>
        <w:tblLook w:val="04A0" w:firstRow="1" w:lastRow="0" w:firstColumn="1" w:lastColumn="0" w:noHBand="0" w:noVBand="1"/>
      </w:tblPr>
      <w:tblGrid>
        <w:gridCol w:w="971"/>
        <w:gridCol w:w="800"/>
        <w:gridCol w:w="1217"/>
        <w:gridCol w:w="428"/>
        <w:gridCol w:w="1352"/>
        <w:gridCol w:w="1363"/>
        <w:gridCol w:w="1102"/>
        <w:gridCol w:w="1117"/>
        <w:gridCol w:w="1012"/>
        <w:gridCol w:w="1353"/>
        <w:gridCol w:w="1494"/>
        <w:gridCol w:w="1360"/>
      </w:tblGrid>
      <w:tr w:rsidR="00CF59EF" w:rsidRPr="00F3219E" w14:paraId="6681DCB5" w14:textId="77777777" w:rsidTr="007F25FD">
        <w:tc>
          <w:tcPr>
            <w:tcW w:w="2988" w:type="dxa"/>
            <w:gridSpan w:val="3"/>
            <w:shd w:val="clear" w:color="auto" w:fill="auto"/>
            <w:tcMar>
              <w:left w:w="108" w:type="dxa"/>
            </w:tcMar>
          </w:tcPr>
          <w:p w14:paraId="3506BDF6"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Hazard</w:t>
            </w:r>
          </w:p>
        </w:tc>
        <w:tc>
          <w:tcPr>
            <w:tcW w:w="7727" w:type="dxa"/>
            <w:gridSpan w:val="7"/>
            <w:shd w:val="clear" w:color="auto" w:fill="auto"/>
            <w:tcMar>
              <w:left w:w="108" w:type="dxa"/>
            </w:tcMar>
          </w:tcPr>
          <w:p w14:paraId="5EB264DA"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Exposure</w:t>
            </w:r>
          </w:p>
        </w:tc>
        <w:tc>
          <w:tcPr>
            <w:tcW w:w="2854" w:type="dxa"/>
            <w:gridSpan w:val="2"/>
            <w:shd w:val="clear" w:color="auto" w:fill="auto"/>
            <w:tcMar>
              <w:left w:w="108" w:type="dxa"/>
            </w:tcMar>
          </w:tcPr>
          <w:p w14:paraId="7CD3DAE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Risk</w:t>
            </w:r>
          </w:p>
        </w:tc>
      </w:tr>
      <w:tr w:rsidR="004248D6" w:rsidRPr="00F3219E" w14:paraId="62F82880" w14:textId="77777777" w:rsidTr="007F25FD">
        <w:tc>
          <w:tcPr>
            <w:tcW w:w="971" w:type="dxa"/>
            <w:shd w:val="clear" w:color="auto" w:fill="auto"/>
            <w:tcMar>
              <w:left w:w="108" w:type="dxa"/>
            </w:tcMar>
          </w:tcPr>
          <w:p w14:paraId="1EFCF149"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Hazard category</w:t>
            </w:r>
          </w:p>
        </w:tc>
        <w:tc>
          <w:tcPr>
            <w:tcW w:w="800" w:type="dxa"/>
            <w:shd w:val="clear" w:color="auto" w:fill="auto"/>
            <w:tcMar>
              <w:left w:w="108" w:type="dxa"/>
            </w:tcMar>
          </w:tcPr>
          <w:p w14:paraId="68C135B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Effects in terms of C&amp;L</w:t>
            </w:r>
          </w:p>
        </w:tc>
        <w:tc>
          <w:tcPr>
            <w:tcW w:w="1217" w:type="dxa"/>
            <w:shd w:val="clear" w:color="auto" w:fill="auto"/>
            <w:tcMar>
              <w:left w:w="108" w:type="dxa"/>
            </w:tcMar>
          </w:tcPr>
          <w:p w14:paraId="57369029"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Additional relevant hazard information</w:t>
            </w:r>
          </w:p>
        </w:tc>
        <w:tc>
          <w:tcPr>
            <w:tcW w:w="428" w:type="dxa"/>
            <w:shd w:val="clear" w:color="auto" w:fill="auto"/>
            <w:tcMar>
              <w:left w:w="108" w:type="dxa"/>
            </w:tcMar>
          </w:tcPr>
          <w:p w14:paraId="63455733"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PT</w:t>
            </w:r>
          </w:p>
        </w:tc>
        <w:tc>
          <w:tcPr>
            <w:tcW w:w="1352" w:type="dxa"/>
            <w:shd w:val="clear" w:color="auto" w:fill="auto"/>
            <w:tcMar>
              <w:left w:w="108" w:type="dxa"/>
            </w:tcMar>
          </w:tcPr>
          <w:p w14:paraId="762F255A"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Who is exposed?</w:t>
            </w:r>
          </w:p>
        </w:tc>
        <w:tc>
          <w:tcPr>
            <w:tcW w:w="1363" w:type="dxa"/>
            <w:shd w:val="clear" w:color="auto" w:fill="auto"/>
            <w:tcMar>
              <w:left w:w="108" w:type="dxa"/>
            </w:tcMar>
          </w:tcPr>
          <w:p w14:paraId="09B8E822"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Tasks, uses, processes</w:t>
            </w:r>
          </w:p>
        </w:tc>
        <w:tc>
          <w:tcPr>
            <w:tcW w:w="1102" w:type="dxa"/>
            <w:shd w:val="clear" w:color="auto" w:fill="auto"/>
            <w:tcMar>
              <w:left w:w="108" w:type="dxa"/>
            </w:tcMar>
          </w:tcPr>
          <w:p w14:paraId="15AE0C56"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Potential exposure route</w:t>
            </w:r>
          </w:p>
        </w:tc>
        <w:tc>
          <w:tcPr>
            <w:tcW w:w="1117" w:type="dxa"/>
            <w:shd w:val="clear" w:color="auto" w:fill="auto"/>
            <w:tcMar>
              <w:left w:w="108" w:type="dxa"/>
            </w:tcMar>
          </w:tcPr>
          <w:p w14:paraId="511C0A9F"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Frequency and duration of potential exposure</w:t>
            </w:r>
          </w:p>
        </w:tc>
        <w:tc>
          <w:tcPr>
            <w:tcW w:w="1012" w:type="dxa"/>
            <w:shd w:val="clear" w:color="auto" w:fill="auto"/>
            <w:tcMar>
              <w:left w:w="108" w:type="dxa"/>
            </w:tcMar>
          </w:tcPr>
          <w:p w14:paraId="3BD04543"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Potential degree of exposure</w:t>
            </w:r>
          </w:p>
        </w:tc>
        <w:tc>
          <w:tcPr>
            <w:tcW w:w="1353" w:type="dxa"/>
            <w:shd w:val="clear" w:color="auto" w:fill="auto"/>
            <w:tcMar>
              <w:left w:w="108" w:type="dxa"/>
            </w:tcMar>
          </w:tcPr>
          <w:p w14:paraId="3FFDEA7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Relevant RMM &amp; PPE</w:t>
            </w:r>
          </w:p>
        </w:tc>
        <w:tc>
          <w:tcPr>
            <w:tcW w:w="1494" w:type="dxa"/>
            <w:shd w:val="clear" w:color="auto" w:fill="auto"/>
            <w:tcMar>
              <w:left w:w="108" w:type="dxa"/>
            </w:tcMar>
          </w:tcPr>
          <w:p w14:paraId="0B18A9E1"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Conclusion on risk</w:t>
            </w:r>
          </w:p>
        </w:tc>
        <w:tc>
          <w:tcPr>
            <w:tcW w:w="1360" w:type="dxa"/>
            <w:shd w:val="clear" w:color="auto" w:fill="auto"/>
            <w:tcMar>
              <w:left w:w="108" w:type="dxa"/>
            </w:tcMar>
          </w:tcPr>
          <w:p w14:paraId="4C39DDA0"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Uncertainties attached to conclusion may increase (</w:t>
            </w:r>
            <w:r w:rsidRPr="00F3219E">
              <w:rPr>
                <w:rFonts w:ascii="Arial" w:eastAsia="Calibri" w:hAnsi="Arial" w:cs="Arial"/>
                <w:sz w:val="16"/>
                <w:szCs w:val="16"/>
                <w:lang w:eastAsia="en-US"/>
              </w:rPr>
              <w:t>↑</w:t>
            </w:r>
            <w:r w:rsidRPr="00F3219E">
              <w:rPr>
                <w:rFonts w:eastAsia="Calibri"/>
                <w:sz w:val="16"/>
                <w:szCs w:val="16"/>
                <w:lang w:eastAsia="en-US"/>
              </w:rPr>
              <w:t>) or decrease (</w:t>
            </w:r>
            <w:r w:rsidRPr="00F3219E">
              <w:rPr>
                <w:rFonts w:ascii="Arial" w:eastAsia="Calibri" w:hAnsi="Arial" w:cs="Arial"/>
                <w:sz w:val="16"/>
                <w:szCs w:val="16"/>
                <w:lang w:eastAsia="en-US"/>
              </w:rPr>
              <w:t>↓</w:t>
            </w:r>
            <w:r w:rsidRPr="00F3219E">
              <w:rPr>
                <w:rFonts w:eastAsia="Calibri"/>
                <w:sz w:val="16"/>
                <w:szCs w:val="16"/>
                <w:lang w:eastAsia="en-US"/>
              </w:rPr>
              <w:t>) risk or both (</w:t>
            </w:r>
            <w:r w:rsidRPr="00F3219E">
              <w:rPr>
                <w:rFonts w:ascii="Arial" w:eastAsia="Calibri" w:hAnsi="Arial" w:cs="Arial"/>
                <w:sz w:val="16"/>
                <w:szCs w:val="16"/>
                <w:lang w:eastAsia="en-US"/>
              </w:rPr>
              <w:t>↑↓</w:t>
            </w:r>
            <w:r w:rsidRPr="00F3219E">
              <w:rPr>
                <w:rFonts w:eastAsia="Calibri"/>
                <w:sz w:val="16"/>
                <w:szCs w:val="16"/>
                <w:lang w:eastAsia="en-US"/>
              </w:rPr>
              <w:t>)</w:t>
            </w:r>
          </w:p>
        </w:tc>
      </w:tr>
      <w:tr w:rsidR="004248D6" w:rsidRPr="00F3219E" w14:paraId="0215F793" w14:textId="77777777" w:rsidTr="007F25FD">
        <w:tc>
          <w:tcPr>
            <w:tcW w:w="971" w:type="dxa"/>
            <w:shd w:val="clear" w:color="auto" w:fill="auto"/>
            <w:tcMar>
              <w:left w:w="108" w:type="dxa"/>
            </w:tcMar>
          </w:tcPr>
          <w:p w14:paraId="6536AD7C"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low</w:t>
            </w:r>
          </w:p>
        </w:tc>
        <w:tc>
          <w:tcPr>
            <w:tcW w:w="800" w:type="dxa"/>
            <w:shd w:val="clear" w:color="auto" w:fill="auto"/>
            <w:tcMar>
              <w:left w:w="108" w:type="dxa"/>
            </w:tcMar>
          </w:tcPr>
          <w:p w14:paraId="7DAA58F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 xml:space="preserve">Eye </w:t>
            </w:r>
            <w:proofErr w:type="spellStart"/>
            <w:r w:rsidRPr="00F3219E">
              <w:rPr>
                <w:rFonts w:eastAsia="Calibri"/>
                <w:sz w:val="16"/>
                <w:szCs w:val="16"/>
                <w:lang w:eastAsia="en-US"/>
              </w:rPr>
              <w:t>irrit</w:t>
            </w:r>
            <w:proofErr w:type="spellEnd"/>
            <w:r w:rsidRPr="00F3219E">
              <w:rPr>
                <w:rFonts w:eastAsia="Calibri"/>
                <w:sz w:val="16"/>
                <w:szCs w:val="16"/>
                <w:lang w:eastAsia="en-US"/>
              </w:rPr>
              <w:t>. Cat 2, H319</w:t>
            </w:r>
          </w:p>
        </w:tc>
        <w:tc>
          <w:tcPr>
            <w:tcW w:w="1217" w:type="dxa"/>
            <w:shd w:val="clear" w:color="auto" w:fill="auto"/>
            <w:tcMar>
              <w:left w:w="108" w:type="dxa"/>
            </w:tcMar>
          </w:tcPr>
          <w:p w14:paraId="0B2403A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t>
            </w:r>
          </w:p>
        </w:tc>
        <w:tc>
          <w:tcPr>
            <w:tcW w:w="428" w:type="dxa"/>
            <w:shd w:val="clear" w:color="auto" w:fill="auto"/>
            <w:tcMar>
              <w:left w:w="108" w:type="dxa"/>
            </w:tcMar>
          </w:tcPr>
          <w:p w14:paraId="7FACE452"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6</w:t>
            </w:r>
          </w:p>
        </w:tc>
        <w:tc>
          <w:tcPr>
            <w:tcW w:w="1352" w:type="dxa"/>
            <w:shd w:val="clear" w:color="auto" w:fill="auto"/>
            <w:tcMar>
              <w:left w:w="108" w:type="dxa"/>
            </w:tcMar>
          </w:tcPr>
          <w:p w14:paraId="26C02902" w14:textId="77777777" w:rsidR="00CF59EF" w:rsidRPr="00F3219E" w:rsidRDefault="004248D6">
            <w:pPr>
              <w:spacing w:line="260" w:lineRule="atLeast"/>
              <w:rPr>
                <w:rFonts w:eastAsia="Calibri"/>
                <w:sz w:val="16"/>
                <w:szCs w:val="16"/>
                <w:lang w:eastAsia="en-US"/>
              </w:rPr>
            </w:pPr>
            <w:r>
              <w:rPr>
                <w:rFonts w:eastAsia="Calibri"/>
                <w:sz w:val="16"/>
                <w:szCs w:val="16"/>
                <w:lang w:eastAsia="en-US"/>
              </w:rPr>
              <w:t>industrial users</w:t>
            </w:r>
          </w:p>
        </w:tc>
        <w:tc>
          <w:tcPr>
            <w:tcW w:w="1363" w:type="dxa"/>
            <w:shd w:val="clear" w:color="auto" w:fill="auto"/>
            <w:tcMar>
              <w:left w:w="108" w:type="dxa"/>
            </w:tcMar>
          </w:tcPr>
          <w:p w14:paraId="34F1F816"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Mixing and loading (formulation of the product into treated articles)</w:t>
            </w:r>
          </w:p>
        </w:tc>
        <w:tc>
          <w:tcPr>
            <w:tcW w:w="1102" w:type="dxa"/>
            <w:shd w:val="clear" w:color="auto" w:fill="auto"/>
            <w:tcMar>
              <w:left w:w="108" w:type="dxa"/>
            </w:tcMar>
          </w:tcPr>
          <w:p w14:paraId="41C72CF9"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skin</w:t>
            </w:r>
          </w:p>
          <w:p w14:paraId="11152327"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eye (splashes, hand to eye transfer)</w:t>
            </w:r>
          </w:p>
        </w:tc>
        <w:tc>
          <w:tcPr>
            <w:tcW w:w="1117" w:type="dxa"/>
            <w:shd w:val="clear" w:color="auto" w:fill="auto"/>
            <w:tcMar>
              <w:left w:w="108" w:type="dxa"/>
            </w:tcMar>
          </w:tcPr>
          <w:p w14:paraId="72F248B6"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10 minutes per day</w:t>
            </w:r>
          </w:p>
        </w:tc>
        <w:tc>
          <w:tcPr>
            <w:tcW w:w="1012" w:type="dxa"/>
            <w:shd w:val="clear" w:color="auto" w:fill="auto"/>
            <w:tcMar>
              <w:left w:w="108" w:type="dxa"/>
            </w:tcMar>
          </w:tcPr>
          <w:p w14:paraId="53DC5B23" w14:textId="77777777" w:rsidR="00CF59EF" w:rsidRPr="00F3219E" w:rsidRDefault="000B5D37">
            <w:pPr>
              <w:spacing w:line="260" w:lineRule="atLeast"/>
              <w:rPr>
                <w:rFonts w:eastAsia="Calibri"/>
                <w:sz w:val="16"/>
                <w:szCs w:val="16"/>
                <w:lang w:eastAsia="en-US"/>
              </w:rPr>
            </w:pPr>
            <w:proofErr w:type="spellStart"/>
            <w:r w:rsidRPr="00F3219E">
              <w:rPr>
                <w:rFonts w:eastAsia="Calibri"/>
                <w:sz w:val="16"/>
                <w:szCs w:val="16"/>
                <w:lang w:eastAsia="en-US"/>
              </w:rPr>
              <w:t>n.r.</w:t>
            </w:r>
            <w:proofErr w:type="spellEnd"/>
          </w:p>
        </w:tc>
        <w:tc>
          <w:tcPr>
            <w:tcW w:w="1353" w:type="dxa"/>
            <w:shd w:val="clear" w:color="auto" w:fill="auto"/>
            <w:tcMar>
              <w:left w:w="108" w:type="dxa"/>
            </w:tcMar>
          </w:tcPr>
          <w:p w14:paraId="47A132A5"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labelling as eye irritant</w:t>
            </w:r>
          </w:p>
          <w:p w14:paraId="0E20B11F" w14:textId="77777777" w:rsidR="00CF59EF" w:rsidRPr="00F3219E" w:rsidRDefault="00CF59EF">
            <w:pPr>
              <w:spacing w:line="260" w:lineRule="atLeast"/>
              <w:rPr>
                <w:rFonts w:eastAsia="Calibri"/>
                <w:sz w:val="16"/>
                <w:szCs w:val="16"/>
                <w:lang w:eastAsia="en-US"/>
              </w:rPr>
            </w:pPr>
          </w:p>
          <w:p w14:paraId="1737A930"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instructions for use minimizing exposure for professionals</w:t>
            </w:r>
          </w:p>
          <w:p w14:paraId="4D624F62" w14:textId="77777777" w:rsidR="00CF59EF" w:rsidRPr="00F3219E" w:rsidRDefault="00CF59EF">
            <w:pPr>
              <w:spacing w:line="260" w:lineRule="atLeast"/>
              <w:rPr>
                <w:rFonts w:eastAsia="Calibri"/>
                <w:sz w:val="16"/>
                <w:szCs w:val="16"/>
                <w:lang w:eastAsia="en-US"/>
              </w:rPr>
            </w:pPr>
          </w:p>
          <w:p w14:paraId="4F8C3E3D"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packaging reducing risk for eye exposure by splashes</w:t>
            </w:r>
          </w:p>
          <w:p w14:paraId="523C899E"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washing of hands after use</w:t>
            </w:r>
          </w:p>
          <w:p w14:paraId="77785BF8" w14:textId="77777777" w:rsidR="00BD69F9" w:rsidRPr="00F3219E" w:rsidRDefault="00BD69F9">
            <w:pPr>
              <w:spacing w:line="260" w:lineRule="atLeast"/>
              <w:rPr>
                <w:rFonts w:eastAsia="Calibri"/>
                <w:sz w:val="16"/>
                <w:szCs w:val="16"/>
                <w:lang w:eastAsia="en-US"/>
              </w:rPr>
            </w:pPr>
          </w:p>
          <w:p w14:paraId="5F6D36AC" w14:textId="77777777" w:rsidR="00BD69F9" w:rsidRPr="00F3219E" w:rsidRDefault="00BD69F9">
            <w:pPr>
              <w:spacing w:line="260" w:lineRule="atLeast"/>
              <w:rPr>
                <w:rFonts w:eastAsia="Calibri"/>
                <w:sz w:val="16"/>
                <w:szCs w:val="16"/>
                <w:lang w:eastAsia="en-US"/>
              </w:rPr>
            </w:pPr>
            <w:r w:rsidRPr="00F3219E">
              <w:rPr>
                <w:rFonts w:eastAsia="Calibri"/>
                <w:sz w:val="16"/>
                <w:szCs w:val="16"/>
                <w:lang w:eastAsia="en-US"/>
              </w:rPr>
              <w:t>eye protector assigned in the labelling (P280g)</w:t>
            </w:r>
          </w:p>
        </w:tc>
        <w:tc>
          <w:tcPr>
            <w:tcW w:w="1494" w:type="dxa"/>
            <w:shd w:val="clear" w:color="auto" w:fill="auto"/>
            <w:tcMar>
              <w:left w:w="108" w:type="dxa"/>
            </w:tcMar>
          </w:tcPr>
          <w:p w14:paraId="7BD74ECE"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Acceptable: +Reversible effect +professionals following instructions for use +experience expected</w:t>
            </w:r>
          </w:p>
          <w:p w14:paraId="0DF72B60" w14:textId="77777777" w:rsidR="00BD69F9" w:rsidRPr="00F3219E" w:rsidRDefault="00BD69F9" w:rsidP="00BD69F9">
            <w:pPr>
              <w:spacing w:line="260" w:lineRule="atLeast"/>
              <w:rPr>
                <w:rFonts w:eastAsia="Calibri"/>
                <w:sz w:val="16"/>
                <w:szCs w:val="16"/>
                <w:lang w:eastAsia="en-US"/>
              </w:rPr>
            </w:pPr>
            <w:r w:rsidRPr="00F3219E">
              <w:rPr>
                <w:rFonts w:eastAsia="Calibri"/>
                <w:sz w:val="16"/>
                <w:szCs w:val="16"/>
                <w:lang w:eastAsia="en-US"/>
              </w:rPr>
              <w:t>+appropriate PPE (eye protection)</w:t>
            </w:r>
          </w:p>
        </w:tc>
        <w:tc>
          <w:tcPr>
            <w:tcW w:w="1360" w:type="dxa"/>
            <w:shd w:val="clear" w:color="auto" w:fill="auto"/>
            <w:tcMar>
              <w:left w:w="108" w:type="dxa"/>
            </w:tcMar>
          </w:tcPr>
          <w:p w14:paraId="5E47C323" w14:textId="77777777"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Instructions for use and packaging as well as adherence to it, including washing of hands may vary (</w:t>
            </w:r>
            <w:r w:rsidRPr="00F3219E">
              <w:rPr>
                <w:rFonts w:ascii="Arial" w:eastAsia="Calibri" w:hAnsi="Arial" w:cs="Arial"/>
                <w:sz w:val="16"/>
                <w:szCs w:val="16"/>
                <w:lang w:eastAsia="en-US"/>
              </w:rPr>
              <w:t>↑↓</w:t>
            </w:r>
            <w:r w:rsidRPr="00F3219E">
              <w:rPr>
                <w:rFonts w:eastAsia="Calibri"/>
                <w:sz w:val="16"/>
                <w:szCs w:val="16"/>
                <w:lang w:eastAsia="en-US"/>
              </w:rPr>
              <w:t>)</w:t>
            </w:r>
          </w:p>
        </w:tc>
      </w:tr>
    </w:tbl>
    <w:p w14:paraId="1FC77E6C" w14:textId="77777777" w:rsidR="00CF59EF" w:rsidRDefault="00CF59EF">
      <w:pPr>
        <w:spacing w:line="260" w:lineRule="atLeast"/>
        <w:rPr>
          <w:rFonts w:eastAsia="Calibri"/>
          <w:lang w:eastAsia="en-US"/>
        </w:rPr>
        <w:sectPr w:rsidR="00CF59EF">
          <w:headerReference w:type="default" r:id="rId25"/>
          <w:footerReference w:type="default" r:id="rId26"/>
          <w:pgSz w:w="16838" w:h="11906" w:orient="landscape"/>
          <w:pgMar w:top="1446" w:right="1474" w:bottom="1247" w:left="2013" w:header="851" w:footer="851" w:gutter="0"/>
          <w:cols w:space="708"/>
          <w:formProt w:val="0"/>
          <w:docGrid w:linePitch="272" w:charSpace="2047"/>
        </w:sectPr>
      </w:pPr>
    </w:p>
    <w:p w14:paraId="4349BBAB" w14:textId="77777777" w:rsidR="00CF59EF" w:rsidRDefault="000B5D37">
      <w:pPr>
        <w:spacing w:line="260" w:lineRule="atLeast"/>
        <w:rPr>
          <w:rFonts w:eastAsia="Calibri"/>
          <w:b/>
          <w:bCs/>
          <w:lang w:eastAsia="en-US"/>
        </w:rPr>
      </w:pPr>
      <w:r>
        <w:rPr>
          <w:rFonts w:eastAsia="Calibri"/>
          <w:b/>
          <w:bCs/>
          <w:lang w:eastAsia="en-US"/>
        </w:rPr>
        <w:lastRenderedPageBreak/>
        <w:t>Conclusion</w:t>
      </w:r>
    </w:p>
    <w:p w14:paraId="7EB17612" w14:textId="77777777"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protected industrial users </w:t>
      </w:r>
      <w:r w:rsidR="003E2A78">
        <w:rPr>
          <w:rFonts w:eastAsia="Calibri"/>
          <w:iCs/>
          <w:lang w:eastAsia="en-US"/>
        </w:rPr>
        <w:t>(gloves</w:t>
      </w:r>
      <w:r w:rsidR="00C56685">
        <w:rPr>
          <w:rFonts w:eastAsia="Calibri"/>
          <w:iCs/>
          <w:lang w:eastAsia="en-US"/>
        </w:rPr>
        <w:t>, eye protection</w:t>
      </w:r>
      <w:r w:rsidR="003E2A78">
        <w:rPr>
          <w:rFonts w:eastAsia="Calibri"/>
          <w:iCs/>
          <w:lang w:eastAsia="en-US"/>
        </w:rPr>
        <w:t xml:space="preserve">) </w:t>
      </w:r>
      <w:r>
        <w:rPr>
          <w:rFonts w:eastAsia="Calibri"/>
          <w:iCs/>
          <w:lang w:eastAsia="en-US"/>
        </w:rPr>
        <w:t xml:space="preserve">from exposure to sodium benzoate during automated or manual addition of the product </w:t>
      </w:r>
      <w:proofErr w:type="spellStart"/>
      <w:r>
        <w:rPr>
          <w:rFonts w:eastAsia="Calibri"/>
          <w:iCs/>
          <w:lang w:eastAsia="en-US"/>
        </w:rPr>
        <w:t>Kalaguard</w:t>
      </w:r>
      <w:proofErr w:type="spellEnd"/>
      <w:r>
        <w:rPr>
          <w:rFonts w:eastAsia="Calibri"/>
          <w:iCs/>
          <w:lang w:eastAsia="en-US"/>
        </w:rPr>
        <w:t xml:space="preserve">® SB into the treated articles. </w:t>
      </w:r>
    </w:p>
    <w:p w14:paraId="790B8067" w14:textId="77777777" w:rsidR="00CF59EF" w:rsidRDefault="00CF59EF">
      <w:pPr>
        <w:spacing w:line="260" w:lineRule="atLeast"/>
        <w:rPr>
          <w:rFonts w:eastAsia="Calibri"/>
          <w:lang w:eastAsia="en-US"/>
        </w:rPr>
      </w:pPr>
    </w:p>
    <w:p w14:paraId="4949F6F7" w14:textId="77777777" w:rsidR="00CF59EF" w:rsidRDefault="000B5D37">
      <w:pPr>
        <w:rPr>
          <w:rFonts w:eastAsia="Calibri"/>
          <w:b/>
          <w:i/>
          <w:sz w:val="22"/>
          <w:szCs w:val="22"/>
          <w:lang w:eastAsia="en-US"/>
        </w:rPr>
      </w:pPr>
      <w:bookmarkStart w:id="1522" w:name="_Toc403472776"/>
      <w:bookmarkStart w:id="1523" w:name="_Toc389729090"/>
      <w:bookmarkEnd w:id="1522"/>
      <w:bookmarkEnd w:id="1523"/>
      <w:r>
        <w:rPr>
          <w:rFonts w:eastAsia="Calibri"/>
          <w:b/>
          <w:i/>
          <w:sz w:val="22"/>
          <w:szCs w:val="22"/>
          <w:lang w:eastAsia="en-US"/>
        </w:rPr>
        <w:t>Risk for professional users</w:t>
      </w:r>
    </w:p>
    <w:p w14:paraId="35942BD6" w14:textId="77777777" w:rsidR="00CF59EF" w:rsidRDefault="00CF59EF">
      <w:pPr>
        <w:spacing w:line="260" w:lineRule="atLeast"/>
        <w:rPr>
          <w:rFonts w:eastAsia="Calibri"/>
          <w:lang w:eastAsia="en-US"/>
        </w:rPr>
      </w:pPr>
    </w:p>
    <w:p w14:paraId="10627CDF" w14:textId="77777777" w:rsidR="00CF59EF" w:rsidRDefault="000B5D37">
      <w:pPr>
        <w:spacing w:line="260" w:lineRule="atLeast"/>
        <w:rPr>
          <w:rFonts w:eastAsia="Calibri"/>
          <w:b/>
          <w:bCs/>
          <w:lang w:eastAsia="en-US"/>
        </w:rPr>
      </w:pPr>
      <w:r>
        <w:rPr>
          <w:rFonts w:eastAsia="Calibri"/>
          <w:b/>
          <w:bCs/>
          <w:lang w:eastAsia="en-US"/>
        </w:rPr>
        <w:t xml:space="preserve">Systemic effects </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850"/>
        <w:gridCol w:w="1560"/>
        <w:gridCol w:w="992"/>
        <w:gridCol w:w="1558"/>
        <w:gridCol w:w="1418"/>
        <w:gridCol w:w="1526"/>
      </w:tblGrid>
      <w:tr w:rsidR="00CF59EF" w14:paraId="5E2C9DD2" w14:textId="77777777">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D5D3F78" w14:textId="77777777" w:rsidR="00CF59EF" w:rsidRDefault="000B5D37">
            <w:pPr>
              <w:spacing w:line="260" w:lineRule="atLeast"/>
              <w:rPr>
                <w:rFonts w:eastAsia="Calibri"/>
                <w:b/>
                <w:lang w:eastAsia="en-US"/>
              </w:rPr>
            </w:pPr>
            <w:r>
              <w:rPr>
                <w:rFonts w:eastAsia="Calibri"/>
                <w:b/>
                <w:lang w:eastAsia="en-US"/>
              </w:rPr>
              <w:t>Task/</w:t>
            </w:r>
          </w:p>
          <w:p w14:paraId="6D58AADE" w14:textId="77777777"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DA00367" w14:textId="77777777" w:rsidR="00CF59EF" w:rsidRDefault="000B5D37">
            <w:pPr>
              <w:spacing w:line="260" w:lineRule="atLeast"/>
              <w:rPr>
                <w:rFonts w:eastAsia="Calibri"/>
                <w:b/>
                <w:lang w:eastAsia="en-US"/>
              </w:rPr>
            </w:pPr>
            <w:r>
              <w:rPr>
                <w:rFonts w:eastAsia="Calibri"/>
                <w:b/>
                <w:lang w:eastAsia="en-US"/>
              </w:rPr>
              <w:t>Tier</w:t>
            </w:r>
          </w:p>
        </w:tc>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EAF70E3" w14:textId="77777777" w:rsidR="00CF59EF" w:rsidRDefault="000B5D37">
            <w:pPr>
              <w:spacing w:line="260" w:lineRule="atLeast"/>
              <w:rPr>
                <w:rFonts w:eastAsia="Calibri"/>
                <w:b/>
                <w:lang w:eastAsia="en-US"/>
              </w:rPr>
            </w:pPr>
            <w:r>
              <w:rPr>
                <w:rFonts w:eastAsia="Calibri"/>
                <w:b/>
                <w:lang w:eastAsia="en-US"/>
              </w:rPr>
              <w:t>Systemic NOAEL</w:t>
            </w:r>
          </w:p>
          <w:p w14:paraId="2B8AB904"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3E88E5F" w14:textId="77777777" w:rsidR="00CF59EF" w:rsidRDefault="000B5D37">
            <w:pPr>
              <w:spacing w:line="260" w:lineRule="atLeast"/>
              <w:rPr>
                <w:rFonts w:eastAsia="Calibri"/>
                <w:b/>
                <w:lang w:val="es-ES" w:eastAsia="en-US"/>
              </w:rPr>
            </w:pPr>
            <w:r>
              <w:rPr>
                <w:rFonts w:eastAsia="Calibri"/>
                <w:b/>
                <w:lang w:val="es-ES" w:eastAsia="en-US"/>
              </w:rPr>
              <w:t>AEL</w:t>
            </w:r>
          </w:p>
          <w:p w14:paraId="0BAA83AB"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55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789F098" w14:textId="77777777" w:rsidR="00CF59EF" w:rsidRDefault="000B5D37">
            <w:pPr>
              <w:spacing w:line="260" w:lineRule="atLeast"/>
              <w:rPr>
                <w:rFonts w:eastAsia="Calibri"/>
                <w:b/>
                <w:lang w:eastAsia="en-US"/>
              </w:rPr>
            </w:pPr>
            <w:r>
              <w:rPr>
                <w:rFonts w:eastAsia="Calibri"/>
                <w:b/>
                <w:lang w:eastAsia="en-US"/>
              </w:rPr>
              <w:t>Estimated uptake</w:t>
            </w:r>
          </w:p>
          <w:p w14:paraId="71DFB6E8"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E78CB42"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6B1A68E2" w14:textId="77777777" w:rsidR="00CF59EF" w:rsidRDefault="000B5D37">
            <w:pPr>
              <w:spacing w:line="260" w:lineRule="atLeast"/>
              <w:rPr>
                <w:rFonts w:eastAsia="Calibri"/>
                <w:b/>
                <w:lang w:eastAsia="en-US"/>
              </w:rPr>
            </w:pPr>
            <w:r>
              <w:rPr>
                <w:rFonts w:eastAsia="Calibri"/>
                <w:b/>
                <w:lang w:eastAsia="en-US"/>
              </w:rPr>
              <w:t>(%)</w:t>
            </w:r>
          </w:p>
        </w:tc>
        <w:tc>
          <w:tcPr>
            <w:tcW w:w="15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F3691FF" w14:textId="77777777" w:rsidR="00CF59EF" w:rsidRDefault="000B5D37">
            <w:pPr>
              <w:spacing w:line="260" w:lineRule="atLeast"/>
              <w:rPr>
                <w:rFonts w:eastAsia="Calibri"/>
                <w:b/>
                <w:lang w:eastAsia="en-US"/>
              </w:rPr>
            </w:pPr>
            <w:r>
              <w:rPr>
                <w:rFonts w:eastAsia="Calibri"/>
                <w:b/>
                <w:lang w:eastAsia="en-US"/>
              </w:rPr>
              <w:t>Acceptable</w:t>
            </w:r>
          </w:p>
          <w:p w14:paraId="1B8BD30F" w14:textId="77777777" w:rsidR="00CF59EF" w:rsidRDefault="000B5D37">
            <w:pPr>
              <w:spacing w:line="260" w:lineRule="atLeast"/>
              <w:rPr>
                <w:rFonts w:eastAsia="Calibri"/>
                <w:b/>
                <w:lang w:eastAsia="en-US"/>
              </w:rPr>
            </w:pPr>
            <w:r>
              <w:rPr>
                <w:rFonts w:eastAsia="Calibri"/>
                <w:b/>
                <w:lang w:eastAsia="en-US"/>
              </w:rPr>
              <w:t>(yes/no)</w:t>
            </w:r>
          </w:p>
        </w:tc>
      </w:tr>
      <w:tr w:rsidR="00CF59EF" w14:paraId="3BA17AF2" w14:textId="77777777">
        <w:trPr>
          <w:trHeight w:val="2475"/>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F640B" w14:textId="77777777" w:rsidR="00CF59EF" w:rsidRDefault="000B5D37">
            <w:pPr>
              <w:spacing w:line="260" w:lineRule="atLeast"/>
              <w:rPr>
                <w:rFonts w:eastAsia="Calibri"/>
                <w:lang w:eastAsia="en-US"/>
              </w:rPr>
            </w:pPr>
            <w:r>
              <w:rPr>
                <w:rFonts w:eastAsia="Calibri"/>
                <w:lang w:eastAsia="en-US"/>
              </w:rPr>
              <w:t>Scenario 2: use of laundry detergent liquids preserved with the product by professionals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DE346" w14:textId="77777777"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24AFD9"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AF33F" w14:textId="77777777"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28271" w14:textId="77777777" w:rsidR="00CF59EF" w:rsidRDefault="000B5D37">
            <w:pPr>
              <w:spacing w:line="260" w:lineRule="atLeast"/>
              <w:rPr>
                <w:rFonts w:eastAsia="Calibri"/>
                <w:vertAlign w:val="superscript"/>
                <w:lang w:eastAsia="en-US"/>
              </w:rPr>
            </w:pPr>
            <w:r>
              <w:rPr>
                <w:rFonts w:eastAsia="Calibri"/>
                <w:lang w:eastAsia="en-US"/>
              </w:rPr>
              <w:t>0.0626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2F89F" w14:textId="77777777" w:rsidR="00CF59EF" w:rsidRDefault="000B5D37">
            <w:pPr>
              <w:spacing w:line="260" w:lineRule="atLeast"/>
              <w:rPr>
                <w:rFonts w:eastAsia="Calibri"/>
                <w:lang w:eastAsia="en-US"/>
              </w:rPr>
            </w:pPr>
            <w:r>
              <w:rPr>
                <w:rFonts w:eastAsia="Calibri"/>
                <w:lang w:eastAsia="en-US"/>
              </w:rPr>
              <w:t>1.25</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8E839" w14:textId="77777777" w:rsidR="00CF59EF" w:rsidRDefault="000B5D37">
            <w:pPr>
              <w:spacing w:line="260" w:lineRule="atLeast"/>
              <w:rPr>
                <w:rFonts w:eastAsia="Calibri"/>
                <w:lang w:eastAsia="en-US"/>
              </w:rPr>
            </w:pPr>
            <w:r>
              <w:rPr>
                <w:rFonts w:eastAsia="Calibri"/>
                <w:lang w:eastAsia="en-US"/>
              </w:rPr>
              <w:t>Yes</w:t>
            </w:r>
          </w:p>
        </w:tc>
      </w:tr>
      <w:tr w:rsidR="00CF59EF" w14:paraId="48C02A4F"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65E25" w14:textId="77777777" w:rsidR="00CF59EF" w:rsidRDefault="000B5D37">
            <w:pPr>
              <w:spacing w:line="260" w:lineRule="atLeast"/>
              <w:rPr>
                <w:rFonts w:eastAsia="Calibri"/>
                <w:lang w:eastAsia="en-US"/>
              </w:rPr>
            </w:pPr>
            <w:r>
              <w:rPr>
                <w:rFonts w:eastAsia="Calibri"/>
                <w:lang w:eastAsia="en-US"/>
              </w:rPr>
              <w:t>Scenario 3: use of floor cleaner liquids preserved with the product for the mopping of the floor with a mop and a wringer bucket by professionals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68F2D" w14:textId="77777777"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F941B"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192B9" w14:textId="77777777"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67E8C" w14:textId="77777777" w:rsidR="00CF59EF" w:rsidRDefault="000B5D37">
            <w:pPr>
              <w:spacing w:line="260" w:lineRule="atLeast"/>
              <w:rPr>
                <w:rFonts w:eastAsia="Calibri"/>
                <w:lang w:eastAsia="en-US"/>
              </w:rPr>
            </w:pPr>
            <w:r>
              <w:rPr>
                <w:rFonts w:eastAsia="Calibri"/>
                <w:lang w:eastAsia="en-US"/>
              </w:rPr>
              <w:t xml:space="preserve">1.92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1BBAB" w14:textId="77777777" w:rsidR="00CF59EF" w:rsidRDefault="000B5D37">
            <w:pPr>
              <w:spacing w:line="260" w:lineRule="atLeast"/>
              <w:rPr>
                <w:rFonts w:eastAsia="Calibri"/>
                <w:lang w:eastAsia="en-US"/>
              </w:rPr>
            </w:pPr>
            <w:r>
              <w:rPr>
                <w:rFonts w:eastAsia="Calibri"/>
                <w:lang w:eastAsia="en-US"/>
              </w:rPr>
              <w:t>38.4</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95DCC" w14:textId="77777777" w:rsidR="00CF59EF" w:rsidRDefault="000B5D37">
            <w:pPr>
              <w:spacing w:line="260" w:lineRule="atLeast"/>
              <w:rPr>
                <w:rFonts w:eastAsia="Calibri"/>
                <w:lang w:eastAsia="en-US"/>
              </w:rPr>
            </w:pPr>
            <w:r>
              <w:rPr>
                <w:rFonts w:eastAsia="Calibri"/>
                <w:lang w:eastAsia="en-US"/>
              </w:rPr>
              <w:t>Yes</w:t>
            </w:r>
          </w:p>
        </w:tc>
      </w:tr>
      <w:tr w:rsidR="00CF59EF" w14:paraId="3ACE50B2"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3F251" w14:textId="77777777" w:rsidR="00CF59EF" w:rsidRDefault="000B5D37">
            <w:pPr>
              <w:spacing w:line="260" w:lineRule="atLeast"/>
              <w:rPr>
                <w:rFonts w:eastAsia="Calibri"/>
                <w:lang w:eastAsia="en-US"/>
              </w:rPr>
            </w:pPr>
            <w:r>
              <w:rPr>
                <w:rFonts w:eastAsia="Calibri"/>
                <w:lang w:eastAsia="en-US"/>
              </w:rPr>
              <w:t>Scenario 4: use of all-purpose cleaner liquids preserved with a product to wipe surfaces with a wrung cloth</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3CA31" w14:textId="77777777"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409F8E"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5D7D7" w14:textId="77777777"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610FF" w14:textId="77777777" w:rsidR="00CF59EF" w:rsidRDefault="000B5D37">
            <w:pPr>
              <w:spacing w:line="260" w:lineRule="atLeast"/>
              <w:rPr>
                <w:rFonts w:eastAsia="Calibri"/>
                <w:lang w:eastAsia="en-US"/>
              </w:rPr>
            </w:pPr>
            <w:r>
              <w:rPr>
                <w:rFonts w:eastAsia="Calibri"/>
                <w:lang w:eastAsia="en-US"/>
              </w:rPr>
              <w:t>0.95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6E1D3" w14:textId="77777777" w:rsidR="00CF59EF" w:rsidRDefault="000B5D37">
            <w:pPr>
              <w:spacing w:line="260" w:lineRule="atLeast"/>
              <w:rPr>
                <w:rFonts w:eastAsia="Calibri"/>
                <w:lang w:eastAsia="en-US"/>
              </w:rPr>
            </w:pPr>
            <w:r>
              <w:rPr>
                <w:rFonts w:eastAsia="Calibri"/>
                <w:lang w:eastAsia="en-US"/>
              </w:rPr>
              <w:t>19</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237A9" w14:textId="77777777" w:rsidR="00CF59EF" w:rsidRDefault="000B5D37">
            <w:pPr>
              <w:spacing w:line="260" w:lineRule="atLeast"/>
              <w:rPr>
                <w:rFonts w:eastAsia="Calibri"/>
                <w:lang w:eastAsia="en-US"/>
              </w:rPr>
            </w:pPr>
            <w:r>
              <w:rPr>
                <w:rFonts w:eastAsia="Calibri"/>
                <w:lang w:eastAsia="en-US"/>
              </w:rPr>
              <w:t>Yes</w:t>
            </w:r>
          </w:p>
        </w:tc>
      </w:tr>
      <w:tr w:rsidR="00CF59EF" w14:paraId="74F9A99E"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A91A3" w14:textId="77777777" w:rsidR="00CF59EF" w:rsidRDefault="000B5D37">
            <w:pPr>
              <w:spacing w:line="260" w:lineRule="atLeast"/>
              <w:rPr>
                <w:rFonts w:eastAsia="Calibri"/>
                <w:lang w:eastAsia="en-US"/>
              </w:rPr>
            </w:pPr>
            <w:r>
              <w:rPr>
                <w:rFonts w:eastAsia="Calibri"/>
                <w:lang w:eastAsia="en-US"/>
              </w:rPr>
              <w:t xml:space="preserve">Scenario 5: use of hand-held trigger </w:t>
            </w:r>
            <w:r>
              <w:rPr>
                <w:rFonts w:eastAsia="Calibri"/>
                <w:lang w:eastAsia="en-US"/>
              </w:rPr>
              <w:lastRenderedPageBreak/>
              <w:t>cleaning sprays preserved with the product for surface cleaning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1CCF2" w14:textId="77777777" w:rsidR="00CF59EF" w:rsidRDefault="000B5D37">
            <w:pPr>
              <w:spacing w:line="260" w:lineRule="atLeast"/>
              <w:rPr>
                <w:rFonts w:eastAsia="Calibri"/>
                <w:lang w:eastAsia="en-US"/>
              </w:rPr>
            </w:pPr>
            <w:r>
              <w:rPr>
                <w:rFonts w:eastAsia="Calibri"/>
                <w:lang w:eastAsia="en-US"/>
              </w:rPr>
              <w:lastRenderedPageBreak/>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01243"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9996F1" w14:textId="77777777"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07D09" w14:textId="77777777" w:rsidR="00CF59EF" w:rsidRDefault="000B5D37">
            <w:pPr>
              <w:spacing w:line="260" w:lineRule="atLeast"/>
              <w:rPr>
                <w:rFonts w:eastAsia="Calibri"/>
                <w:lang w:eastAsia="en-US"/>
              </w:rPr>
            </w:pPr>
            <w:r>
              <w:rPr>
                <w:rFonts w:eastAsia="Calibri"/>
                <w:lang w:eastAsia="en-US"/>
              </w:rPr>
              <w:t>0.340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981CF" w14:textId="77777777" w:rsidR="00CF59EF" w:rsidRDefault="000B5D37">
            <w:pPr>
              <w:spacing w:line="260" w:lineRule="atLeast"/>
              <w:rPr>
                <w:rFonts w:eastAsia="Calibri"/>
                <w:lang w:eastAsia="en-US"/>
              </w:rPr>
            </w:pPr>
            <w:r>
              <w:rPr>
                <w:rFonts w:eastAsia="Calibri"/>
                <w:lang w:eastAsia="en-US"/>
              </w:rPr>
              <w:t>6.8</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C5BD3E" w14:textId="77777777" w:rsidR="00CF59EF" w:rsidRDefault="000B5D37">
            <w:pPr>
              <w:spacing w:line="260" w:lineRule="atLeast"/>
              <w:rPr>
                <w:rFonts w:eastAsia="Calibri"/>
                <w:lang w:eastAsia="en-US"/>
              </w:rPr>
            </w:pPr>
            <w:r>
              <w:rPr>
                <w:rFonts w:eastAsia="Calibri"/>
                <w:lang w:eastAsia="en-US"/>
              </w:rPr>
              <w:t>Yes</w:t>
            </w:r>
          </w:p>
        </w:tc>
      </w:tr>
      <w:tr w:rsidR="00CF59EF" w14:paraId="02BCF682" w14:textId="77777777">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ED1826" w14:textId="77777777" w:rsidR="00CF59EF" w:rsidRDefault="000B5D37">
            <w:pPr>
              <w:spacing w:line="260" w:lineRule="atLeast"/>
              <w:rPr>
                <w:rFonts w:eastAsia="Calibri"/>
                <w:lang w:eastAsia="en-US"/>
              </w:rPr>
            </w:pPr>
            <w:r>
              <w:rPr>
                <w:rFonts w:eastAsia="Calibri"/>
                <w:lang w:eastAsia="en-US"/>
              </w:rPr>
              <w:t>Scenario 6: use of dishwashing liquids preserved with the product for cleaning of dishes manually by professional users in the catering industry</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42620" w14:textId="77777777"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75591"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A8181" w14:textId="77777777"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705EE" w14:textId="77777777" w:rsidR="00CF59EF" w:rsidRPr="002C30D1" w:rsidRDefault="00712411" w:rsidP="00366681">
            <w:pPr>
              <w:spacing w:line="260" w:lineRule="atLeast"/>
              <w:rPr>
                <w:rFonts w:eastAsia="Calibri"/>
                <w:highlight w:val="yellow"/>
                <w:lang w:eastAsia="en-US"/>
              </w:rPr>
            </w:pPr>
            <w:r w:rsidRPr="002C30D1">
              <w:rPr>
                <w:rFonts w:eastAsia="Calibri"/>
                <w:highlight w:val="yellow"/>
                <w:lang w:eastAsia="en-US"/>
              </w:rPr>
              <w:t>1.9x10-4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B7406" w14:textId="77777777" w:rsidR="00CF59EF" w:rsidRPr="002C30D1" w:rsidRDefault="00712411">
            <w:pPr>
              <w:spacing w:line="260" w:lineRule="atLeast"/>
              <w:rPr>
                <w:rFonts w:eastAsia="Calibri"/>
                <w:highlight w:val="yellow"/>
                <w:lang w:eastAsia="en-US"/>
              </w:rPr>
            </w:pPr>
            <w:r w:rsidRPr="002C30D1">
              <w:rPr>
                <w:rFonts w:eastAsia="Calibri"/>
                <w:highlight w:val="yellow"/>
                <w:lang w:eastAsia="en-US"/>
              </w:rPr>
              <w:t>&lt;1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EC7A0" w14:textId="77777777" w:rsidR="00CF59EF" w:rsidRDefault="000B5D37">
            <w:pPr>
              <w:spacing w:line="260" w:lineRule="atLeast"/>
              <w:rPr>
                <w:rFonts w:eastAsia="Calibri"/>
                <w:lang w:eastAsia="en-US"/>
              </w:rPr>
            </w:pPr>
            <w:r>
              <w:rPr>
                <w:rFonts w:eastAsia="Calibri"/>
                <w:lang w:eastAsia="en-US"/>
              </w:rPr>
              <w:t>Yes</w:t>
            </w:r>
          </w:p>
        </w:tc>
      </w:tr>
    </w:tbl>
    <w:p w14:paraId="2649813D" w14:textId="77777777" w:rsidR="00CF59EF" w:rsidRDefault="00CF59EF">
      <w:pPr>
        <w:spacing w:line="260" w:lineRule="atLeast"/>
        <w:rPr>
          <w:rFonts w:eastAsia="Calibri"/>
          <w:lang w:eastAsia="en-US"/>
        </w:rPr>
      </w:pPr>
    </w:p>
    <w:p w14:paraId="6CEFDAD9" w14:textId="77777777" w:rsidR="00CF59EF" w:rsidRDefault="000B5D37">
      <w:pPr>
        <w:spacing w:line="260" w:lineRule="atLeast"/>
        <w:rPr>
          <w:rFonts w:eastAsia="Calibri"/>
          <w:b/>
          <w:bCs/>
          <w:lang w:eastAsia="en-US"/>
        </w:rPr>
      </w:pPr>
      <w:r>
        <w:rPr>
          <w:rFonts w:eastAsia="Calibri"/>
          <w:b/>
          <w:bCs/>
          <w:lang w:eastAsia="en-US"/>
        </w:rPr>
        <w:t>Combined scenarios</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48"/>
        <w:gridCol w:w="842"/>
        <w:gridCol w:w="1407"/>
        <w:gridCol w:w="991"/>
        <w:gridCol w:w="1340"/>
        <w:gridCol w:w="1414"/>
        <w:gridCol w:w="1522"/>
      </w:tblGrid>
      <w:tr w:rsidR="00CF59EF" w14:paraId="6B2FD242" w14:textId="77777777">
        <w:tc>
          <w:tcPr>
            <w:tcW w:w="198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8ABB7EF" w14:textId="77777777" w:rsidR="00CF59EF" w:rsidRDefault="000B5D37">
            <w:pPr>
              <w:spacing w:line="260" w:lineRule="atLeast"/>
              <w:rPr>
                <w:rFonts w:eastAsia="Calibri"/>
                <w:b/>
                <w:lang w:eastAsia="en-US"/>
              </w:rPr>
            </w:pPr>
            <w:r>
              <w:rPr>
                <w:rFonts w:eastAsia="Calibri"/>
                <w:b/>
                <w:lang w:eastAsia="en-US"/>
              </w:rPr>
              <w:t>Scenarios combined</w:t>
            </w:r>
          </w:p>
        </w:tc>
        <w:tc>
          <w:tcPr>
            <w:tcW w:w="85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EBC2476" w14:textId="77777777" w:rsidR="00CF59EF" w:rsidRDefault="000B5D37">
            <w:pPr>
              <w:spacing w:line="260" w:lineRule="atLeast"/>
              <w:rPr>
                <w:rFonts w:eastAsia="Calibri"/>
                <w:b/>
                <w:lang w:eastAsia="en-US"/>
              </w:rPr>
            </w:pPr>
            <w:r>
              <w:rPr>
                <w:rFonts w:eastAsia="Calibri"/>
                <w:b/>
                <w:lang w:eastAsia="en-US"/>
              </w:rPr>
              <w:t>Tier</w:t>
            </w:r>
          </w:p>
        </w:tc>
        <w:tc>
          <w:tcPr>
            <w:tcW w:w="141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2CFBE81" w14:textId="77777777" w:rsidR="00CF59EF" w:rsidRDefault="000B5D37">
            <w:pPr>
              <w:spacing w:line="260" w:lineRule="atLeast"/>
              <w:rPr>
                <w:rFonts w:eastAsia="Calibri"/>
                <w:b/>
                <w:lang w:eastAsia="en-US"/>
              </w:rPr>
            </w:pPr>
            <w:r>
              <w:rPr>
                <w:rFonts w:eastAsia="Calibri"/>
                <w:b/>
                <w:lang w:eastAsia="en-US"/>
              </w:rPr>
              <w:t>Systemic NOAEL</w:t>
            </w:r>
          </w:p>
          <w:p w14:paraId="46CC0340"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BA5846C" w14:textId="77777777" w:rsidR="00CF59EF" w:rsidRDefault="000B5D37">
            <w:pPr>
              <w:spacing w:line="260" w:lineRule="atLeast"/>
              <w:rPr>
                <w:rFonts w:eastAsia="Calibri"/>
                <w:b/>
                <w:lang w:val="es-ES" w:eastAsia="en-US"/>
              </w:rPr>
            </w:pPr>
            <w:r>
              <w:rPr>
                <w:rFonts w:eastAsia="Calibri"/>
                <w:b/>
                <w:lang w:val="es-ES" w:eastAsia="en-US"/>
              </w:rPr>
              <w:t>AEL</w:t>
            </w:r>
          </w:p>
          <w:p w14:paraId="37D5D25D"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27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0F41D4B" w14:textId="77777777" w:rsidR="00CF59EF" w:rsidRDefault="000B5D37">
            <w:pPr>
              <w:spacing w:line="260" w:lineRule="atLeast"/>
              <w:rPr>
                <w:rFonts w:eastAsia="Calibri"/>
                <w:b/>
                <w:lang w:eastAsia="en-US"/>
              </w:rPr>
            </w:pPr>
            <w:r>
              <w:rPr>
                <w:rFonts w:eastAsia="Calibri"/>
                <w:b/>
                <w:lang w:eastAsia="en-US"/>
              </w:rPr>
              <w:t>Estimated uptake</w:t>
            </w:r>
          </w:p>
          <w:p w14:paraId="5014821D"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DD07165"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009B07E3" w14:textId="77777777" w:rsidR="00CF59EF" w:rsidRDefault="000B5D37">
            <w:pPr>
              <w:spacing w:line="260" w:lineRule="atLeast"/>
              <w:rPr>
                <w:rFonts w:eastAsia="Calibri"/>
                <w:b/>
                <w:lang w:eastAsia="en-US"/>
              </w:rPr>
            </w:pPr>
            <w:r>
              <w:rPr>
                <w:rFonts w:eastAsia="Calibri"/>
                <w:b/>
                <w:lang w:eastAsia="en-US"/>
              </w:rPr>
              <w:t>(%)</w:t>
            </w:r>
          </w:p>
        </w:tc>
        <w:tc>
          <w:tcPr>
            <w:tcW w:w="15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68A3AEC" w14:textId="77777777" w:rsidR="00CF59EF" w:rsidRDefault="000B5D37">
            <w:pPr>
              <w:spacing w:line="260" w:lineRule="atLeast"/>
              <w:rPr>
                <w:rFonts w:eastAsia="Calibri"/>
                <w:b/>
                <w:lang w:eastAsia="en-US"/>
              </w:rPr>
            </w:pPr>
            <w:r>
              <w:rPr>
                <w:rFonts w:eastAsia="Calibri"/>
                <w:b/>
                <w:lang w:eastAsia="en-US"/>
              </w:rPr>
              <w:t>Acceptable</w:t>
            </w:r>
          </w:p>
          <w:p w14:paraId="10035711" w14:textId="77777777" w:rsidR="00CF59EF" w:rsidRDefault="000B5D37">
            <w:pPr>
              <w:spacing w:line="260" w:lineRule="atLeast"/>
              <w:rPr>
                <w:rFonts w:eastAsia="Calibri"/>
                <w:b/>
                <w:lang w:eastAsia="en-US"/>
              </w:rPr>
            </w:pPr>
            <w:r>
              <w:rPr>
                <w:rFonts w:eastAsia="Calibri"/>
                <w:b/>
                <w:lang w:eastAsia="en-US"/>
              </w:rPr>
              <w:t>(yes/no)</w:t>
            </w:r>
          </w:p>
        </w:tc>
      </w:tr>
      <w:tr w:rsidR="00CF59EF" w14:paraId="52C22558" w14:textId="77777777">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218D4" w14:textId="77777777" w:rsidR="00CF59EF" w:rsidRDefault="000B5D37">
            <w:pPr>
              <w:spacing w:line="260" w:lineRule="atLeast"/>
              <w:rPr>
                <w:rFonts w:eastAsia="Calibri"/>
                <w:lang w:eastAsia="en-US"/>
              </w:rPr>
            </w:pPr>
            <w:r>
              <w:rPr>
                <w:rFonts w:eastAsia="Calibri"/>
                <w:lang w:eastAsia="en-US"/>
              </w:rPr>
              <w:t>Scenarios 3, 4, 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F3163" w14:textId="77777777" w:rsidR="00CF59EF" w:rsidRDefault="000B5D37">
            <w:pPr>
              <w:spacing w:line="260" w:lineRule="atLeast"/>
              <w:rPr>
                <w:rFonts w:eastAsia="Calibri"/>
                <w:lang w:eastAsia="en-US"/>
              </w:rPr>
            </w:pPr>
            <w:r>
              <w:rPr>
                <w:rFonts w:eastAsia="Calibri"/>
                <w:lang w:eastAsia="en-US"/>
              </w:rPr>
              <w:t>Tier 1/no PPE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A1E4"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D9CA5" w14:textId="77777777" w:rsidR="00CF59EF" w:rsidRDefault="000B5D37">
            <w:pPr>
              <w:spacing w:line="260" w:lineRule="atLeast"/>
              <w:rPr>
                <w:rFonts w:eastAsia="Calibri"/>
                <w:lang w:eastAsia="en-US"/>
              </w:rPr>
            </w:pPr>
            <w:r>
              <w:rPr>
                <w:rFonts w:eastAsia="Calibri"/>
                <w:lang w:eastAsia="en-US"/>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9F2050" w14:textId="77777777" w:rsidR="00CF59EF" w:rsidRDefault="000B5D37">
            <w:pPr>
              <w:spacing w:line="260" w:lineRule="atLeast"/>
              <w:rPr>
                <w:rFonts w:eastAsia="Calibri"/>
                <w:lang w:eastAsia="en-US"/>
              </w:rPr>
            </w:pPr>
            <w:r>
              <w:rPr>
                <w:rFonts w:eastAsia="Calibri"/>
                <w:lang w:eastAsia="en-US"/>
              </w:rPr>
              <w:t>3.</w:t>
            </w:r>
            <w:r w:rsidR="00121190">
              <w:rPr>
                <w:rFonts w:eastAsia="Calibri"/>
                <w:lang w:eastAsia="en-US"/>
              </w:rPr>
              <w:t>21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763A5" w14:textId="77777777" w:rsidR="00CF59EF" w:rsidRDefault="000B5D37">
            <w:pPr>
              <w:spacing w:line="260" w:lineRule="atLeast"/>
              <w:rPr>
                <w:rFonts w:eastAsia="Calibri"/>
                <w:lang w:eastAsia="en-US"/>
              </w:rPr>
            </w:pPr>
            <w:r>
              <w:rPr>
                <w:rFonts w:eastAsia="Calibri"/>
                <w:lang w:eastAsia="en-US"/>
              </w:rPr>
              <w:t>6</w:t>
            </w:r>
            <w:r w:rsidR="00121190">
              <w:rPr>
                <w:rFonts w:eastAsia="Calibri"/>
                <w:lang w:eastAsia="en-US"/>
              </w:rPr>
              <w:t>4</w:t>
            </w:r>
            <w:r>
              <w:rPr>
                <w:rFonts w:eastAsia="Calibri"/>
                <w:lang w:eastAsia="en-US"/>
              </w:rPr>
              <w:t>.</w:t>
            </w:r>
            <w:r w:rsidR="00121190">
              <w:rPr>
                <w:rFonts w:eastAsia="Calibri"/>
                <w:lang w:eastAsia="en-US"/>
              </w:rPr>
              <w:t>2</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68ED4" w14:textId="77777777" w:rsidR="00CF59EF" w:rsidRDefault="000B5D37">
            <w:pPr>
              <w:spacing w:line="260" w:lineRule="atLeast"/>
              <w:rPr>
                <w:rFonts w:eastAsia="Calibri"/>
                <w:lang w:eastAsia="en-US"/>
              </w:rPr>
            </w:pPr>
            <w:r>
              <w:rPr>
                <w:rFonts w:eastAsia="Calibri"/>
                <w:lang w:eastAsia="en-US"/>
              </w:rPr>
              <w:t>Yes</w:t>
            </w:r>
          </w:p>
        </w:tc>
      </w:tr>
    </w:tbl>
    <w:p w14:paraId="7D1F81FF" w14:textId="77777777" w:rsidR="00CF59EF" w:rsidRDefault="000B5D37">
      <w:pPr>
        <w:spacing w:line="260" w:lineRule="atLeast"/>
        <w:rPr>
          <w:rFonts w:eastAsia="Calibri"/>
          <w:lang w:eastAsia="en-US"/>
        </w:rPr>
      </w:pPr>
      <w:r>
        <w:br w:type="page"/>
      </w:r>
    </w:p>
    <w:p w14:paraId="3CCB1C75" w14:textId="77777777" w:rsidR="00CF59EF" w:rsidRDefault="000B5D37">
      <w:pPr>
        <w:spacing w:line="260" w:lineRule="atLeast"/>
        <w:rPr>
          <w:rFonts w:eastAsia="Calibri"/>
          <w:b/>
          <w:bCs/>
          <w:lang w:eastAsia="en-US"/>
        </w:rPr>
      </w:pPr>
      <w:r>
        <w:rPr>
          <w:rFonts w:eastAsia="Calibri"/>
          <w:b/>
          <w:bCs/>
          <w:lang w:eastAsia="en-US"/>
        </w:rPr>
        <w:lastRenderedPageBreak/>
        <w:t xml:space="preserve">Local effects </w:t>
      </w:r>
    </w:p>
    <w:p w14:paraId="570F820E" w14:textId="77777777" w:rsidR="00CF59EF" w:rsidRDefault="000B5D37">
      <w:pPr>
        <w:spacing w:line="260" w:lineRule="atLeast"/>
        <w:rPr>
          <w:rFonts w:eastAsia="Calibri"/>
          <w:iCs/>
          <w:sz w:val="18"/>
          <w:lang w:eastAsia="en-US"/>
        </w:rPr>
      </w:pPr>
      <w:r>
        <w:rPr>
          <w:rFonts w:eastAsia="Calibri"/>
          <w:iCs/>
          <w:lang w:eastAsia="en-US"/>
        </w:rPr>
        <w:t>Sodium benzoate is classi</w:t>
      </w:r>
      <w:r w:rsidR="00121190">
        <w:rPr>
          <w:rFonts w:eastAsia="Calibri"/>
          <w:iCs/>
          <w:lang w:eastAsia="en-US"/>
        </w:rPr>
        <w:t>fi</w:t>
      </w:r>
      <w:r>
        <w:rPr>
          <w:rFonts w:eastAsia="Calibri"/>
          <w:iCs/>
          <w:lang w:eastAsia="en-US"/>
        </w:rPr>
        <w:t xml:space="preserve">ed as irritating to eyes; however, its maximal concentration of 2.5% (expressed as benzoic acid) in treated articles is below the classification limit for eye irritation according to Regulation 1272/2008/EC. Respectively, no adverse local effects due to exposure to sodium benzoate in treated articles is expected, and no risk assessment is necessary. </w:t>
      </w:r>
    </w:p>
    <w:p w14:paraId="08FD2CDB" w14:textId="77777777" w:rsidR="00CF59EF" w:rsidRDefault="00CF59EF">
      <w:pPr>
        <w:spacing w:line="260" w:lineRule="atLeast"/>
        <w:rPr>
          <w:rFonts w:eastAsia="Calibri"/>
          <w:b/>
          <w:bCs/>
          <w:lang w:eastAsia="en-US"/>
        </w:rPr>
      </w:pPr>
    </w:p>
    <w:p w14:paraId="73AE71E5" w14:textId="77777777" w:rsidR="00CF59EF" w:rsidRDefault="000B5D37">
      <w:pPr>
        <w:spacing w:line="260" w:lineRule="atLeast"/>
        <w:rPr>
          <w:rFonts w:eastAsia="Calibri"/>
          <w:b/>
          <w:bCs/>
          <w:lang w:eastAsia="en-US"/>
        </w:rPr>
      </w:pPr>
      <w:r>
        <w:rPr>
          <w:rFonts w:eastAsia="Calibri"/>
          <w:b/>
          <w:bCs/>
          <w:lang w:eastAsia="en-US"/>
        </w:rPr>
        <w:t>Conclusion</w:t>
      </w:r>
    </w:p>
    <w:p w14:paraId="06546212" w14:textId="77777777"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unprotected professional users from exposure to sodium benzoate due to the use of treated articles preserved with the product, during loading of liquid laundry detergents into washing machines, mopping of the surfaces using a mop and a wringer bucket, wiping of the surfaces using a wrung cloth, and cleaning of the surfaces using a hand-held trigger spray. </w:t>
      </w:r>
    </w:p>
    <w:p w14:paraId="6E42F406" w14:textId="77777777" w:rsidR="00CF59EF" w:rsidRDefault="00CF59EF">
      <w:pPr>
        <w:spacing w:line="260" w:lineRule="atLeast"/>
        <w:rPr>
          <w:rFonts w:eastAsia="Calibri"/>
          <w:iCs/>
          <w:lang w:eastAsia="en-US"/>
        </w:rPr>
      </w:pPr>
    </w:p>
    <w:p w14:paraId="19987FD2" w14:textId="77777777" w:rsidR="00CF59EF" w:rsidRDefault="000B5D37">
      <w:pPr>
        <w:spacing w:line="260" w:lineRule="atLeast"/>
        <w:rPr>
          <w:rFonts w:eastAsia="Calibri"/>
          <w:iCs/>
          <w:lang w:eastAsia="en-US"/>
        </w:rPr>
      </w:pPr>
      <w:r>
        <w:rPr>
          <w:rFonts w:eastAsia="Calibri"/>
          <w:iCs/>
          <w:lang w:eastAsia="en-US"/>
        </w:rPr>
        <w:t xml:space="preserve">No adverse effects are expected for unprotected professional users from combined exposure to sodium benzoate due to the use of treated articles preserved with the product from mopping of the surfaces using a mop and a wringer bucket, wiping of the surfaces using a wrung cloth, and cleaning of the surfaces using a hand-held trigger spray. </w:t>
      </w:r>
    </w:p>
    <w:p w14:paraId="0A6C55A9" w14:textId="77777777" w:rsidR="00CF59EF" w:rsidRDefault="00CF59EF">
      <w:pPr>
        <w:spacing w:line="260" w:lineRule="atLeast"/>
        <w:rPr>
          <w:rFonts w:eastAsia="Calibri"/>
          <w:lang w:eastAsia="en-US"/>
        </w:rPr>
      </w:pPr>
    </w:p>
    <w:p w14:paraId="791EFAF9" w14:textId="77777777" w:rsidR="00CF59EF" w:rsidRDefault="00CF59EF">
      <w:pPr>
        <w:rPr>
          <w:rFonts w:eastAsia="Calibri"/>
          <w:b/>
          <w:i/>
          <w:sz w:val="22"/>
          <w:szCs w:val="22"/>
          <w:lang w:eastAsia="en-US"/>
        </w:rPr>
      </w:pPr>
    </w:p>
    <w:p w14:paraId="348F26B5" w14:textId="77777777" w:rsidR="00CF59EF" w:rsidRDefault="00CF59EF">
      <w:pPr>
        <w:spacing w:line="260" w:lineRule="atLeast"/>
        <w:rPr>
          <w:rFonts w:eastAsia="Calibri"/>
          <w:lang w:val="it-IT" w:eastAsia="en-US"/>
        </w:rPr>
      </w:pPr>
    </w:p>
    <w:p w14:paraId="72CCB828" w14:textId="77777777" w:rsidR="00CF59EF" w:rsidRDefault="00CF59EF">
      <w:pPr>
        <w:rPr>
          <w:rFonts w:eastAsia="Calibri"/>
          <w:b/>
          <w:i/>
          <w:sz w:val="22"/>
          <w:szCs w:val="22"/>
          <w:lang w:val="it-IT" w:eastAsia="en-US"/>
        </w:rPr>
      </w:pPr>
    </w:p>
    <w:p w14:paraId="32C1BE88" w14:textId="77777777" w:rsidR="00CF59EF" w:rsidRDefault="000B5D37">
      <w:pPr>
        <w:spacing w:line="260" w:lineRule="atLeast"/>
        <w:rPr>
          <w:rFonts w:eastAsia="Calibri"/>
          <w:lang w:eastAsia="en-US"/>
        </w:rPr>
      </w:pPr>
      <w:r>
        <w:br w:type="page"/>
      </w:r>
    </w:p>
    <w:p w14:paraId="4DB745BE" w14:textId="77777777" w:rsidR="00CF59EF" w:rsidRDefault="000B5D37">
      <w:pPr>
        <w:rPr>
          <w:rFonts w:eastAsia="Calibri"/>
          <w:b/>
          <w:i/>
          <w:sz w:val="22"/>
          <w:szCs w:val="22"/>
          <w:lang w:eastAsia="en-US"/>
        </w:rPr>
      </w:pPr>
      <w:bookmarkStart w:id="1524" w:name="_Toc403472778"/>
      <w:bookmarkStart w:id="1525" w:name="_Toc389729092"/>
      <w:r>
        <w:rPr>
          <w:rFonts w:eastAsia="Calibri"/>
          <w:b/>
          <w:i/>
          <w:sz w:val="22"/>
          <w:szCs w:val="22"/>
          <w:lang w:eastAsia="en-US"/>
        </w:rPr>
        <w:lastRenderedPageBreak/>
        <w:t xml:space="preserve">Risk for the </w:t>
      </w:r>
      <w:r w:rsidR="003E2A78">
        <w:rPr>
          <w:rFonts w:eastAsia="Calibri"/>
          <w:b/>
          <w:i/>
          <w:sz w:val="22"/>
          <w:szCs w:val="22"/>
          <w:lang w:eastAsia="en-US"/>
        </w:rPr>
        <w:t>non-professional users (</w:t>
      </w:r>
      <w:r>
        <w:rPr>
          <w:rFonts w:eastAsia="Calibri"/>
          <w:b/>
          <w:i/>
          <w:sz w:val="22"/>
          <w:szCs w:val="22"/>
          <w:lang w:eastAsia="en-US"/>
        </w:rPr>
        <w:t>consumers</w:t>
      </w:r>
      <w:r w:rsidR="003E2A78">
        <w:rPr>
          <w:rFonts w:eastAsia="Calibri"/>
          <w:b/>
          <w:i/>
          <w:sz w:val="22"/>
          <w:szCs w:val="22"/>
          <w:lang w:eastAsia="en-US"/>
        </w:rPr>
        <w:t>)</w:t>
      </w:r>
      <w:r>
        <w:rPr>
          <w:rFonts w:eastAsia="Calibri"/>
          <w:b/>
          <w:i/>
          <w:sz w:val="22"/>
          <w:szCs w:val="22"/>
          <w:lang w:eastAsia="en-US"/>
        </w:rPr>
        <w:t xml:space="preserve"> and general public</w:t>
      </w:r>
      <w:bookmarkEnd w:id="1524"/>
      <w:bookmarkEnd w:id="1525"/>
      <w:r>
        <w:rPr>
          <w:rFonts w:eastAsia="Calibri"/>
          <w:b/>
          <w:i/>
          <w:sz w:val="22"/>
          <w:szCs w:val="22"/>
          <w:lang w:eastAsia="en-US"/>
        </w:rPr>
        <w:t xml:space="preserve"> </w:t>
      </w:r>
    </w:p>
    <w:p w14:paraId="0AFB57CD" w14:textId="77777777" w:rsidR="00CF59EF" w:rsidRDefault="00CF59EF">
      <w:pPr>
        <w:spacing w:line="260" w:lineRule="atLeast"/>
        <w:rPr>
          <w:rFonts w:eastAsia="Calibri"/>
          <w:lang w:eastAsia="en-US"/>
        </w:rPr>
      </w:pPr>
    </w:p>
    <w:p w14:paraId="67641BC7" w14:textId="77777777" w:rsidR="00CF59EF" w:rsidRDefault="000B5D37">
      <w:pPr>
        <w:spacing w:line="260" w:lineRule="atLeast"/>
        <w:rPr>
          <w:rFonts w:eastAsia="Calibri"/>
          <w:b/>
          <w:bCs/>
          <w:lang w:eastAsia="en-US"/>
        </w:rPr>
      </w:pPr>
      <w:r>
        <w:rPr>
          <w:rFonts w:eastAsia="Calibri"/>
          <w:b/>
          <w:bCs/>
          <w:lang w:eastAsia="en-US"/>
        </w:rPr>
        <w:t xml:space="preserve">Systemic effects </w:t>
      </w:r>
    </w:p>
    <w:tbl>
      <w:tblPr>
        <w:tblW w:w="959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6"/>
        <w:gridCol w:w="850"/>
        <w:gridCol w:w="1561"/>
        <w:gridCol w:w="991"/>
        <w:gridCol w:w="1417"/>
        <w:gridCol w:w="1418"/>
        <w:gridCol w:w="1559"/>
      </w:tblGrid>
      <w:tr w:rsidR="00821AB1" w14:paraId="4CCBE922" w14:textId="77777777">
        <w:tc>
          <w:tcPr>
            <w:tcW w:w="179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68A8600" w14:textId="77777777" w:rsidR="00CF59EF" w:rsidRDefault="000B5D37">
            <w:pPr>
              <w:spacing w:line="260" w:lineRule="atLeast"/>
              <w:rPr>
                <w:rFonts w:eastAsia="Calibri"/>
                <w:b/>
                <w:lang w:eastAsia="en-US"/>
              </w:rPr>
            </w:pPr>
            <w:r>
              <w:rPr>
                <w:rFonts w:eastAsia="Calibri"/>
                <w:b/>
                <w:lang w:eastAsia="en-US"/>
              </w:rPr>
              <w:t>Task/</w:t>
            </w:r>
          </w:p>
          <w:p w14:paraId="0B436646" w14:textId="77777777"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3B74EB7" w14:textId="77777777" w:rsidR="00CF59EF" w:rsidRDefault="000B5D37">
            <w:pPr>
              <w:spacing w:line="260" w:lineRule="atLeast"/>
              <w:rPr>
                <w:rFonts w:eastAsia="Calibri"/>
                <w:b/>
                <w:lang w:eastAsia="en-US"/>
              </w:rPr>
            </w:pPr>
            <w:r>
              <w:rPr>
                <w:rFonts w:eastAsia="Calibri"/>
                <w:b/>
                <w:lang w:eastAsia="en-US"/>
              </w:rPr>
              <w:t>Tier</w:t>
            </w:r>
          </w:p>
        </w:tc>
        <w:tc>
          <w:tcPr>
            <w:tcW w:w="156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A53A0AB" w14:textId="77777777" w:rsidR="00CF59EF" w:rsidRDefault="000B5D37">
            <w:pPr>
              <w:spacing w:line="260" w:lineRule="atLeast"/>
              <w:rPr>
                <w:rFonts w:eastAsia="Calibri"/>
                <w:b/>
                <w:lang w:eastAsia="en-US"/>
              </w:rPr>
            </w:pPr>
            <w:r>
              <w:rPr>
                <w:rFonts w:eastAsia="Calibri"/>
                <w:b/>
                <w:lang w:eastAsia="en-US"/>
              </w:rPr>
              <w:t>Systemic NOAEL</w:t>
            </w:r>
          </w:p>
          <w:p w14:paraId="15477FF7"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304D0EA" w14:textId="77777777" w:rsidR="00CF59EF" w:rsidRDefault="000B5D37">
            <w:pPr>
              <w:spacing w:line="260" w:lineRule="atLeast"/>
              <w:rPr>
                <w:rFonts w:eastAsia="Calibri"/>
                <w:b/>
                <w:lang w:val="es-ES" w:eastAsia="en-US"/>
              </w:rPr>
            </w:pPr>
            <w:r>
              <w:rPr>
                <w:rFonts w:eastAsia="Calibri"/>
                <w:b/>
                <w:lang w:val="es-ES" w:eastAsia="en-US"/>
              </w:rPr>
              <w:t>AEL</w:t>
            </w:r>
          </w:p>
          <w:p w14:paraId="1ACF84F7"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1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62CB732" w14:textId="77777777" w:rsidR="00CF59EF" w:rsidRDefault="000B5D37">
            <w:pPr>
              <w:spacing w:line="260" w:lineRule="atLeast"/>
              <w:rPr>
                <w:rFonts w:eastAsia="Calibri"/>
                <w:b/>
                <w:lang w:eastAsia="en-US"/>
              </w:rPr>
            </w:pPr>
            <w:r>
              <w:rPr>
                <w:rFonts w:eastAsia="Calibri"/>
                <w:b/>
                <w:lang w:eastAsia="en-US"/>
              </w:rPr>
              <w:t>Estimated uptake</w:t>
            </w:r>
          </w:p>
          <w:p w14:paraId="1C7CCD3C"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ADA48FD"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232F1C14" w14:textId="77777777" w:rsidR="00CF59EF" w:rsidRDefault="000B5D37">
            <w:pPr>
              <w:spacing w:line="260" w:lineRule="atLeast"/>
              <w:rPr>
                <w:rFonts w:eastAsia="Calibri"/>
                <w:b/>
                <w:lang w:eastAsia="en-US"/>
              </w:rPr>
            </w:pPr>
            <w:r>
              <w:rPr>
                <w:rFonts w:eastAsia="Calibri"/>
                <w:b/>
                <w:lang w:eastAsia="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1550301" w14:textId="77777777" w:rsidR="00CF59EF" w:rsidRDefault="000B5D37">
            <w:pPr>
              <w:spacing w:line="260" w:lineRule="atLeast"/>
              <w:rPr>
                <w:rFonts w:eastAsia="Calibri"/>
                <w:b/>
                <w:lang w:eastAsia="en-US"/>
              </w:rPr>
            </w:pPr>
            <w:r>
              <w:rPr>
                <w:rFonts w:eastAsia="Calibri"/>
                <w:b/>
                <w:lang w:eastAsia="en-US"/>
              </w:rPr>
              <w:t>Acceptable</w:t>
            </w:r>
          </w:p>
          <w:p w14:paraId="1561321B" w14:textId="77777777" w:rsidR="00CF59EF" w:rsidRDefault="000B5D37">
            <w:pPr>
              <w:spacing w:line="260" w:lineRule="atLeast"/>
              <w:rPr>
                <w:rFonts w:eastAsia="Calibri"/>
                <w:b/>
                <w:lang w:eastAsia="en-US"/>
              </w:rPr>
            </w:pPr>
            <w:r>
              <w:rPr>
                <w:rFonts w:eastAsia="Calibri"/>
                <w:b/>
                <w:lang w:eastAsia="en-US"/>
              </w:rPr>
              <w:t>(yes/no)</w:t>
            </w:r>
          </w:p>
        </w:tc>
      </w:tr>
      <w:tr w:rsidR="00821AB1" w14:paraId="07C547BE"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BA773" w14:textId="77777777" w:rsidR="00CF59EF" w:rsidRDefault="000B5D37" w:rsidP="003E2A78">
            <w:pPr>
              <w:spacing w:line="260" w:lineRule="atLeast"/>
              <w:rPr>
                <w:rFonts w:eastAsia="Calibri"/>
                <w:lang w:eastAsia="en-US"/>
              </w:rPr>
            </w:pPr>
            <w:r>
              <w:rPr>
                <w:rFonts w:eastAsia="Calibri"/>
                <w:lang w:eastAsia="en-US"/>
              </w:rPr>
              <w:t xml:space="preserve">Scenario 7: use of dishwashing liquids preserved with the product by </w:t>
            </w:r>
            <w:r w:rsidR="003E2A78">
              <w:rPr>
                <w:rFonts w:eastAsia="Calibri"/>
                <w:lang w:eastAsia="en-US"/>
              </w:rPr>
              <w:t>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3C869" w14:textId="77777777"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C319F"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8738E"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603C6" w14:textId="77777777" w:rsidR="00CF59EF" w:rsidRDefault="00366681">
            <w:pPr>
              <w:spacing w:line="260" w:lineRule="atLeast"/>
              <w:rPr>
                <w:rFonts w:eastAsia="Calibri"/>
                <w:lang w:eastAsia="en-US"/>
              </w:rPr>
            </w:pPr>
            <w:r>
              <w:rPr>
                <w:rFonts w:eastAsia="Calibri"/>
                <w:lang w:eastAsia="en-US"/>
              </w:rPr>
              <w:t>0.026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BA011" w14:textId="77777777"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87D8C" w14:textId="77777777" w:rsidR="00CF59EF" w:rsidRDefault="000B5D37">
            <w:pPr>
              <w:spacing w:line="260" w:lineRule="atLeast"/>
              <w:rPr>
                <w:rFonts w:eastAsia="Calibri"/>
                <w:lang w:eastAsia="en-US"/>
              </w:rPr>
            </w:pPr>
            <w:r>
              <w:rPr>
                <w:rFonts w:eastAsia="Calibri"/>
                <w:lang w:eastAsia="en-US"/>
              </w:rPr>
              <w:t>Yes</w:t>
            </w:r>
          </w:p>
        </w:tc>
      </w:tr>
      <w:tr w:rsidR="00821AB1" w14:paraId="1E00E2E9"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DFC5F" w14:textId="77777777" w:rsidR="00CF59EF" w:rsidRDefault="000B5D37">
            <w:pPr>
              <w:spacing w:line="260" w:lineRule="atLeast"/>
              <w:rPr>
                <w:rFonts w:eastAsia="Calibri"/>
                <w:lang w:eastAsia="en-US"/>
              </w:rPr>
            </w:pPr>
            <w:r>
              <w:rPr>
                <w:rFonts w:eastAsia="Calibri"/>
                <w:lang w:eastAsia="en-US"/>
              </w:rPr>
              <w:t>Scenario 8: use of laundry detergent liquids to do a hand-wash laundry</w:t>
            </w:r>
            <w:r w:rsidR="003E2A78">
              <w:rPr>
                <w:rFonts w:eastAsia="Calibri"/>
                <w:lang w:eastAsia="en-US"/>
              </w:rPr>
              <w:t xml:space="preserve"> by 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792C4" w14:textId="77777777"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B64345"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F6E48"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68D2F" w14:textId="77777777" w:rsidR="00CF59EF" w:rsidRDefault="000B5D37">
            <w:pPr>
              <w:spacing w:line="260" w:lineRule="atLeast"/>
              <w:rPr>
                <w:rFonts w:eastAsia="Calibri"/>
                <w:lang w:eastAsia="en-US"/>
              </w:rPr>
            </w:pPr>
            <w:r>
              <w:rPr>
                <w:rFonts w:eastAsia="Calibri"/>
                <w:lang w:eastAsia="en-US"/>
              </w:rPr>
              <w:t>0.0609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3136C" w14:textId="77777777" w:rsidR="00CF59EF" w:rsidRDefault="000B5D37">
            <w:pPr>
              <w:spacing w:line="260" w:lineRule="atLeast"/>
              <w:rPr>
                <w:rFonts w:eastAsia="Calibri"/>
                <w:lang w:eastAsia="en-US"/>
              </w:rPr>
            </w:pPr>
            <w:r>
              <w:rPr>
                <w:rFonts w:eastAsia="Calibri"/>
                <w:lang w:eastAsia="en-US"/>
              </w:rPr>
              <w:t>1.22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CFDC9" w14:textId="77777777" w:rsidR="00CF59EF" w:rsidRDefault="000B5D37">
            <w:pPr>
              <w:spacing w:line="260" w:lineRule="atLeast"/>
              <w:rPr>
                <w:rFonts w:eastAsia="Calibri"/>
                <w:lang w:eastAsia="en-US"/>
              </w:rPr>
            </w:pPr>
            <w:r>
              <w:rPr>
                <w:rFonts w:eastAsia="Calibri"/>
                <w:lang w:eastAsia="en-US"/>
              </w:rPr>
              <w:t>Yes</w:t>
            </w:r>
          </w:p>
        </w:tc>
      </w:tr>
      <w:tr w:rsidR="00821AB1" w14:paraId="09BB00F5"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0DC4C9" w14:textId="77777777" w:rsidR="00CF59EF" w:rsidRDefault="000B5D37">
            <w:pPr>
              <w:spacing w:line="260" w:lineRule="atLeast"/>
              <w:rPr>
                <w:rFonts w:eastAsia="Calibri"/>
                <w:lang w:eastAsia="en-US"/>
              </w:rPr>
            </w:pPr>
            <w:r>
              <w:rPr>
                <w:rFonts w:eastAsia="Calibri"/>
                <w:lang w:eastAsia="en-US"/>
              </w:rPr>
              <w:t>Scenario 9: use of a liquid cleaner to clean 10 m</w:t>
            </w:r>
            <w:r>
              <w:rPr>
                <w:rFonts w:eastAsia="Calibri"/>
                <w:vertAlign w:val="superscript"/>
                <w:lang w:eastAsia="en-US"/>
              </w:rPr>
              <w:t>2</w:t>
            </w:r>
            <w:r>
              <w:rPr>
                <w:rFonts w:eastAsia="Calibri"/>
                <w:lang w:eastAsia="en-US"/>
              </w:rPr>
              <w:t xml:space="preserve"> furniture</w:t>
            </w:r>
            <w:r w:rsidR="003E2A78">
              <w:rPr>
                <w:rFonts w:eastAsia="Calibri"/>
                <w:lang w:eastAsia="en-US"/>
              </w:rPr>
              <w:t xml:space="preserve"> by 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31913" w14:textId="77777777"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25E7BC"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37FE7A"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2A465E" w14:textId="77777777"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081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A58E5" w14:textId="77777777" w:rsidR="00CF59EF" w:rsidRDefault="00BC5238">
            <w:pPr>
              <w:spacing w:line="260" w:lineRule="atLeast"/>
              <w:rPr>
                <w:rFonts w:eastAsia="Calibri"/>
                <w:lang w:eastAsia="en-US"/>
              </w:rPr>
            </w:pPr>
            <w:r>
              <w:rPr>
                <w:rFonts w:eastAsia="Calibri"/>
                <w:lang w:eastAsia="en-US"/>
              </w:rPr>
              <w:t>1.62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10D60" w14:textId="77777777" w:rsidR="00CF59EF" w:rsidRDefault="000B5D37">
            <w:pPr>
              <w:spacing w:line="260" w:lineRule="atLeast"/>
              <w:rPr>
                <w:rFonts w:eastAsia="Calibri"/>
                <w:lang w:eastAsia="en-US"/>
              </w:rPr>
            </w:pPr>
            <w:r>
              <w:rPr>
                <w:rFonts w:eastAsia="Calibri"/>
                <w:lang w:eastAsia="en-US"/>
              </w:rPr>
              <w:t>Yes</w:t>
            </w:r>
          </w:p>
        </w:tc>
      </w:tr>
      <w:tr w:rsidR="00821AB1" w14:paraId="27FF5A31"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06BC0" w14:textId="77777777" w:rsidR="00CF59EF" w:rsidRDefault="000B5D37">
            <w:pPr>
              <w:spacing w:line="260" w:lineRule="atLeast"/>
              <w:rPr>
                <w:rFonts w:eastAsia="Calibri"/>
                <w:lang w:eastAsia="en-US"/>
              </w:rPr>
            </w:pPr>
            <w:r>
              <w:rPr>
                <w:rFonts w:eastAsia="Calibri"/>
                <w:lang w:eastAsia="en-US"/>
              </w:rPr>
              <w:t>Scenario 10: exposure to residues in laundered clothes via contact with skin, adults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2A029" w14:textId="77777777"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6FE97"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1BB73"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10764" w14:textId="77777777" w:rsidR="00CF59EF" w:rsidRDefault="000B5D37">
            <w:pPr>
              <w:spacing w:line="260" w:lineRule="atLeast"/>
              <w:rPr>
                <w:rFonts w:eastAsia="Calibri"/>
                <w:lang w:eastAsia="en-US"/>
              </w:rPr>
            </w:pPr>
            <w:r>
              <w:rPr>
                <w:rFonts w:eastAsia="Calibri"/>
                <w:lang w:eastAsia="en-US"/>
              </w:rPr>
              <w:t>0.</w:t>
            </w:r>
            <w:r w:rsidR="00101CC0">
              <w:rPr>
                <w:rFonts w:eastAsia="Calibri"/>
                <w:lang w:eastAsia="en-US"/>
              </w:rPr>
              <w:t>7</w:t>
            </w:r>
            <w:r w:rsidR="00B43817">
              <w:rPr>
                <w:rFonts w:eastAsia="Calibri"/>
                <w:lang w:eastAsia="en-US"/>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54E4A" w14:textId="77777777" w:rsidR="00CF59EF" w:rsidRDefault="00B43817">
            <w:pPr>
              <w:spacing w:line="260" w:lineRule="atLeast"/>
              <w:rPr>
                <w:rFonts w:eastAsia="Calibri"/>
                <w:lang w:eastAsia="en-US"/>
              </w:rPr>
            </w:pPr>
            <w:r>
              <w:rPr>
                <w:rFonts w:eastAsia="Calibri"/>
                <w:lang w:eastAsia="en-US"/>
              </w:rPr>
              <w:t>14.4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920E1" w14:textId="77777777" w:rsidR="00CF59EF" w:rsidRDefault="000B5D37">
            <w:pPr>
              <w:spacing w:line="260" w:lineRule="atLeast"/>
              <w:rPr>
                <w:rFonts w:eastAsia="Calibri"/>
                <w:lang w:eastAsia="en-US"/>
              </w:rPr>
            </w:pPr>
            <w:r>
              <w:rPr>
                <w:rFonts w:eastAsia="Calibri"/>
                <w:lang w:eastAsia="en-US"/>
              </w:rPr>
              <w:t>Yes</w:t>
            </w:r>
          </w:p>
        </w:tc>
      </w:tr>
      <w:tr w:rsidR="00821AB1" w14:paraId="76181B40"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3C66C" w14:textId="77777777" w:rsidR="00CF59EF" w:rsidRDefault="000B5D37" w:rsidP="00C37D4D">
            <w:pPr>
              <w:spacing w:line="260" w:lineRule="atLeast"/>
              <w:rPr>
                <w:rFonts w:eastAsia="Calibri"/>
                <w:lang w:eastAsia="en-US"/>
              </w:rPr>
            </w:pPr>
            <w:r>
              <w:rPr>
                <w:rFonts w:eastAsia="Calibri"/>
                <w:lang w:eastAsia="en-US"/>
              </w:rPr>
              <w:t xml:space="preserve">Scenario 11: exposure to residues in laundered clothes via contact with skin, </w:t>
            </w:r>
            <w:r w:rsidR="006B6453">
              <w:rPr>
                <w:rFonts w:eastAsia="Calibri"/>
                <w:lang w:eastAsia="en-US"/>
              </w:rPr>
              <w:t xml:space="preserve">toddler and </w:t>
            </w:r>
            <w:r w:rsidR="00C37D4D">
              <w:rPr>
                <w:rFonts w:eastAsia="Calibri"/>
                <w:lang w:eastAsia="en-US"/>
              </w:rPr>
              <w:t>infant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FCEAF" w14:textId="77777777"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B90B48"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29ECC"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2E98D" w14:textId="77777777" w:rsidR="006B6453" w:rsidRDefault="006B6453" w:rsidP="007F386F">
            <w:pPr>
              <w:spacing w:line="260" w:lineRule="atLeast"/>
              <w:rPr>
                <w:rFonts w:eastAsia="Calibri"/>
                <w:lang w:eastAsia="en-US"/>
              </w:rPr>
            </w:pPr>
          </w:p>
          <w:p w14:paraId="6A86A036" w14:textId="77777777" w:rsidR="006B6453" w:rsidRDefault="006B6453" w:rsidP="007F386F">
            <w:pPr>
              <w:spacing w:line="260" w:lineRule="atLeast"/>
              <w:rPr>
                <w:rFonts w:eastAsia="Calibri"/>
                <w:lang w:eastAsia="en-US"/>
              </w:rPr>
            </w:pPr>
            <w:r>
              <w:rPr>
                <w:rFonts w:eastAsia="Calibri"/>
                <w:lang w:eastAsia="en-US"/>
              </w:rPr>
              <w:t>1.24 (toddler)</w:t>
            </w:r>
          </w:p>
          <w:p w14:paraId="49BD173A" w14:textId="77777777" w:rsidR="006B6453" w:rsidRDefault="006B6453" w:rsidP="007F386F">
            <w:pPr>
              <w:spacing w:line="260" w:lineRule="atLeast"/>
              <w:rPr>
                <w:rFonts w:eastAsia="Calibri"/>
                <w:lang w:eastAsia="en-US"/>
              </w:rPr>
            </w:pPr>
          </w:p>
          <w:p w14:paraId="7630DD37" w14:textId="77777777" w:rsidR="00CF59EF" w:rsidRDefault="00C37D4D" w:rsidP="007F386F">
            <w:pPr>
              <w:spacing w:line="260" w:lineRule="atLeast"/>
              <w:rPr>
                <w:rFonts w:eastAsia="Calibri"/>
                <w:lang w:eastAsia="en-US"/>
              </w:rPr>
            </w:pPr>
            <w:r>
              <w:rPr>
                <w:rFonts w:eastAsia="Calibri"/>
                <w:lang w:eastAsia="en-US"/>
              </w:rPr>
              <w:t>1.33</w:t>
            </w:r>
            <w:r w:rsidR="006B6453">
              <w:rPr>
                <w:rFonts w:eastAsia="Calibri"/>
                <w:lang w:eastAsia="en-US"/>
              </w:rPr>
              <w:t xml:space="preserve"> (infant)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37C51" w14:textId="77777777" w:rsidR="00821AB1" w:rsidRDefault="00821AB1">
            <w:pPr>
              <w:spacing w:line="260" w:lineRule="atLeast"/>
              <w:rPr>
                <w:rFonts w:eastAsia="Calibri"/>
                <w:lang w:eastAsia="en-US"/>
              </w:rPr>
            </w:pPr>
            <w:r>
              <w:rPr>
                <w:rFonts w:eastAsia="Calibri"/>
                <w:lang w:eastAsia="en-US"/>
              </w:rPr>
              <w:t>24.9</w:t>
            </w:r>
          </w:p>
          <w:p w14:paraId="59E51AA6" w14:textId="77777777" w:rsidR="00821AB1" w:rsidRDefault="00821AB1">
            <w:pPr>
              <w:spacing w:line="260" w:lineRule="atLeast"/>
              <w:rPr>
                <w:rFonts w:eastAsia="Calibri"/>
                <w:lang w:eastAsia="en-US"/>
              </w:rPr>
            </w:pPr>
            <w:r>
              <w:rPr>
                <w:rFonts w:eastAsia="Calibri"/>
                <w:lang w:eastAsia="en-US"/>
              </w:rPr>
              <w:t>(toddler)</w:t>
            </w:r>
          </w:p>
          <w:p w14:paraId="453C295F" w14:textId="77777777" w:rsidR="00821AB1" w:rsidRDefault="00821AB1">
            <w:pPr>
              <w:spacing w:line="260" w:lineRule="atLeast"/>
              <w:rPr>
                <w:rFonts w:eastAsia="Calibri"/>
                <w:lang w:eastAsia="en-US"/>
              </w:rPr>
            </w:pPr>
          </w:p>
          <w:p w14:paraId="300BFDE6" w14:textId="77777777" w:rsidR="00821AB1" w:rsidRDefault="00C37D4D">
            <w:pPr>
              <w:spacing w:line="260" w:lineRule="atLeast"/>
              <w:rPr>
                <w:rFonts w:eastAsia="Calibri"/>
                <w:lang w:eastAsia="en-US"/>
              </w:rPr>
            </w:pPr>
            <w:r>
              <w:rPr>
                <w:rFonts w:eastAsia="Calibri"/>
                <w:lang w:eastAsia="en-US"/>
              </w:rPr>
              <w:t>26.6</w:t>
            </w:r>
            <w:r w:rsidR="00821AB1">
              <w:rPr>
                <w:rFonts w:eastAsia="Calibri"/>
                <w:lang w:eastAsia="en-US"/>
              </w:rPr>
              <w:t xml:space="preserve"> </w:t>
            </w:r>
          </w:p>
          <w:p w14:paraId="571838F8" w14:textId="77777777" w:rsidR="00CF59EF" w:rsidRDefault="00821AB1">
            <w:pPr>
              <w:spacing w:line="260" w:lineRule="atLeast"/>
              <w:rPr>
                <w:rFonts w:eastAsia="Calibri"/>
                <w:lang w:eastAsia="en-US"/>
              </w:rPr>
            </w:pPr>
            <w:r>
              <w:rPr>
                <w:rFonts w:eastAsia="Calibri"/>
                <w:lang w:eastAsia="en-US"/>
              </w:rPr>
              <w:t>(infant)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E68D2" w14:textId="77777777" w:rsidR="00CF59EF" w:rsidRDefault="000B5D37">
            <w:pPr>
              <w:spacing w:line="260" w:lineRule="atLeast"/>
              <w:rPr>
                <w:rFonts w:eastAsia="Calibri"/>
                <w:lang w:eastAsia="en-US"/>
              </w:rPr>
            </w:pPr>
            <w:r>
              <w:rPr>
                <w:rFonts w:eastAsia="Calibri"/>
                <w:lang w:eastAsia="en-US"/>
              </w:rPr>
              <w:t>Yes</w:t>
            </w:r>
          </w:p>
        </w:tc>
      </w:tr>
      <w:tr w:rsidR="00821AB1" w14:paraId="62CB1614"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DA53B9" w14:textId="77777777" w:rsidR="00CF59EF" w:rsidRDefault="000B5D37">
            <w:pPr>
              <w:spacing w:line="260" w:lineRule="atLeast"/>
              <w:rPr>
                <w:rFonts w:eastAsia="Calibri"/>
                <w:lang w:eastAsia="en-US"/>
              </w:rPr>
            </w:pPr>
            <w:r>
              <w:rPr>
                <w:rFonts w:eastAsia="Calibri"/>
                <w:lang w:eastAsia="en-US"/>
              </w:rPr>
              <w:t xml:space="preserve">Scenario 12: oral exposure to residues on the washed </w:t>
            </w:r>
            <w:r>
              <w:rPr>
                <w:rFonts w:eastAsia="Calibri"/>
                <w:lang w:eastAsia="en-US"/>
              </w:rPr>
              <w:lastRenderedPageBreak/>
              <w:t>dinnerware, adults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AA237" w14:textId="77777777" w:rsidR="00CF59EF" w:rsidRDefault="000B5D37">
            <w:pPr>
              <w:spacing w:line="260" w:lineRule="atLeast"/>
              <w:rPr>
                <w:rFonts w:eastAsia="Calibri"/>
                <w:lang w:eastAsia="en-US"/>
              </w:rPr>
            </w:pPr>
            <w:r>
              <w:rPr>
                <w:rFonts w:eastAsia="Calibri"/>
                <w:lang w:eastAsia="en-US"/>
              </w:rPr>
              <w:lastRenderedPageBreak/>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E1928"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7F310"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49D5B" w14:textId="77777777" w:rsidR="00CF59EF" w:rsidRDefault="000B5D37" w:rsidP="00366681">
            <w:pPr>
              <w:spacing w:line="260" w:lineRule="atLeast"/>
              <w:rPr>
                <w:rFonts w:eastAsia="Calibri"/>
                <w:lang w:eastAsia="en-US"/>
              </w:rPr>
            </w:pPr>
            <w:r>
              <w:rPr>
                <w:rFonts w:eastAsia="Calibri"/>
                <w:lang w:eastAsia="en-US"/>
              </w:rPr>
              <w:t>0.00175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57F4D" w14:textId="77777777"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1A59C" w14:textId="77777777" w:rsidR="00CF59EF" w:rsidRDefault="000B5D37">
            <w:pPr>
              <w:spacing w:line="260" w:lineRule="atLeast"/>
              <w:rPr>
                <w:rFonts w:eastAsia="Calibri"/>
                <w:lang w:eastAsia="en-US"/>
              </w:rPr>
            </w:pPr>
            <w:r>
              <w:rPr>
                <w:rFonts w:eastAsia="Calibri"/>
                <w:lang w:eastAsia="en-US"/>
              </w:rPr>
              <w:t>Yes</w:t>
            </w:r>
          </w:p>
        </w:tc>
      </w:tr>
      <w:tr w:rsidR="00821AB1" w14:paraId="5C321ECA"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AF741" w14:textId="77777777" w:rsidR="00CF59EF" w:rsidRDefault="000B5D37">
            <w:pPr>
              <w:spacing w:line="260" w:lineRule="atLeast"/>
              <w:rPr>
                <w:rFonts w:eastAsia="Calibri"/>
                <w:lang w:eastAsia="en-US"/>
              </w:rPr>
            </w:pPr>
            <w:r>
              <w:rPr>
                <w:rFonts w:eastAsia="Calibri"/>
                <w:lang w:eastAsia="en-US"/>
              </w:rPr>
              <w:t>Scenario 13: oral exposure to residues on the washed dinnerware, toddler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8C3801" w14:textId="77777777" w:rsidR="00CF59EF" w:rsidRDefault="000B5D37">
            <w:pPr>
              <w:spacing w:line="260" w:lineRule="atLeast"/>
              <w:rPr>
                <w:rFonts w:eastAsia="Calibri"/>
                <w:lang w:eastAsia="en-US"/>
              </w:rPr>
            </w:pPr>
            <w:r>
              <w:rPr>
                <w:rFonts w:eastAsia="Calibri"/>
                <w:lang w:eastAsia="en-US"/>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D4B77" w14:textId="77777777"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4EA8C" w14:textId="77777777"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6E049" w14:textId="77777777" w:rsidR="00CF59EF" w:rsidRDefault="000B5D37" w:rsidP="00366681">
            <w:pPr>
              <w:spacing w:line="260" w:lineRule="atLeast"/>
              <w:rPr>
                <w:rFonts w:eastAsia="Calibri"/>
                <w:lang w:eastAsia="en-US"/>
              </w:rPr>
            </w:pPr>
            <w:r>
              <w:rPr>
                <w:rFonts w:eastAsia="Calibri"/>
                <w:lang w:eastAsia="en-US"/>
              </w:rPr>
              <w:t>0.0105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75225" w14:textId="77777777"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A73892" w14:textId="77777777" w:rsidR="00CF59EF" w:rsidRDefault="000B5D37">
            <w:pPr>
              <w:spacing w:line="260" w:lineRule="atLeast"/>
              <w:rPr>
                <w:rFonts w:eastAsia="Calibri"/>
                <w:lang w:eastAsia="en-US"/>
              </w:rPr>
            </w:pPr>
            <w:r>
              <w:rPr>
                <w:rFonts w:eastAsia="Calibri"/>
                <w:lang w:eastAsia="en-US"/>
              </w:rPr>
              <w:t>Yes</w:t>
            </w:r>
          </w:p>
        </w:tc>
      </w:tr>
      <w:tr w:rsidR="00821AB1" w14:paraId="1A6235C9" w14:textId="77777777">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41EDA" w14:textId="77777777" w:rsidR="00E64D74" w:rsidRDefault="00E64D74" w:rsidP="00E64D74">
            <w:pPr>
              <w:spacing w:line="260" w:lineRule="atLeast"/>
              <w:rPr>
                <w:rFonts w:eastAsia="Calibri"/>
                <w:lang w:eastAsia="en-US"/>
              </w:rPr>
            </w:pPr>
            <w:r>
              <w:rPr>
                <w:rFonts w:eastAsia="Calibri"/>
                <w:lang w:eastAsia="en-US"/>
              </w:rPr>
              <w:t xml:space="preserve">Scenario 15: </w:t>
            </w:r>
            <w:r w:rsidRPr="00E64D74">
              <w:rPr>
                <w:rFonts w:eastAsia="Calibri"/>
                <w:lang w:eastAsia="en-US"/>
              </w:rPr>
              <w:t>Exposure of toddlers to residues of all-purpose cleaners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04127" w14:textId="77777777" w:rsidR="00E64D74" w:rsidRDefault="00E64D74">
            <w:pPr>
              <w:spacing w:line="260" w:lineRule="atLeast"/>
              <w:rPr>
                <w:rFonts w:eastAsia="Calibri"/>
                <w:lang w:eastAsia="en-US"/>
              </w:rPr>
            </w:pPr>
            <w:r>
              <w:rPr>
                <w:rFonts w:eastAsia="Calibri"/>
                <w:lang w:eastAsia="en-US"/>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C0323B" w14:textId="77777777" w:rsidR="00E64D74" w:rsidRDefault="00E64D74">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40310" w14:textId="77777777" w:rsidR="00E64D74" w:rsidRDefault="00E64D74">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6396D" w14:textId="77777777" w:rsidR="00E64D74" w:rsidRDefault="00E64D74">
            <w:pPr>
              <w:spacing w:line="260" w:lineRule="atLeast"/>
              <w:rPr>
                <w:rFonts w:eastAsia="Calibri"/>
                <w:lang w:eastAsia="en-US"/>
              </w:rPr>
            </w:pPr>
            <w:r>
              <w:rPr>
                <w:rFonts w:eastAsia="Calibri"/>
                <w:lang w:eastAsia="en-US"/>
              </w:rPr>
              <w:t>0.28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608C6" w14:textId="77777777" w:rsidR="00E64D74" w:rsidRDefault="00E64D74">
            <w:pPr>
              <w:spacing w:line="260" w:lineRule="atLeast"/>
              <w:rPr>
                <w:rFonts w:eastAsia="Calibri"/>
                <w:lang w:eastAsia="en-US"/>
              </w:rPr>
            </w:pPr>
            <w:r>
              <w:rPr>
                <w:rFonts w:eastAsia="Calibri"/>
                <w:lang w:eastAsia="en-US"/>
              </w:rPr>
              <w:t>5.6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B8FA2" w14:textId="77777777" w:rsidR="00E64D74" w:rsidRDefault="00E64D74">
            <w:pPr>
              <w:spacing w:line="260" w:lineRule="atLeast"/>
              <w:rPr>
                <w:rFonts w:eastAsia="Calibri"/>
                <w:lang w:eastAsia="en-US"/>
              </w:rPr>
            </w:pPr>
            <w:r>
              <w:rPr>
                <w:rFonts w:eastAsia="Calibri"/>
                <w:lang w:eastAsia="en-US"/>
              </w:rPr>
              <w:t>yes</w:t>
            </w:r>
          </w:p>
        </w:tc>
      </w:tr>
    </w:tbl>
    <w:p w14:paraId="44B62447" w14:textId="77777777" w:rsidR="00CF59EF" w:rsidRDefault="00CF59EF">
      <w:pPr>
        <w:spacing w:line="260" w:lineRule="atLeast"/>
        <w:rPr>
          <w:rFonts w:eastAsia="Calibri"/>
          <w:lang w:eastAsia="en-US"/>
        </w:rPr>
      </w:pPr>
    </w:p>
    <w:p w14:paraId="1A9AA3D8" w14:textId="77777777" w:rsidR="00CF59EF" w:rsidRDefault="000B5D37">
      <w:pPr>
        <w:spacing w:line="260" w:lineRule="atLeast"/>
        <w:rPr>
          <w:rFonts w:eastAsia="Calibri"/>
          <w:b/>
          <w:bCs/>
          <w:lang w:eastAsia="en-US"/>
        </w:rPr>
      </w:pPr>
      <w:r>
        <w:rPr>
          <w:rFonts w:eastAsia="Calibri"/>
          <w:b/>
          <w:bCs/>
          <w:lang w:eastAsia="en-US"/>
        </w:rPr>
        <w:t>Combined scenarios</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4"/>
        <w:gridCol w:w="1143"/>
        <w:gridCol w:w="1309"/>
        <w:gridCol w:w="1045"/>
        <w:gridCol w:w="1482"/>
        <w:gridCol w:w="1432"/>
        <w:gridCol w:w="1539"/>
      </w:tblGrid>
      <w:tr w:rsidR="00CF59EF" w14:paraId="55E8FD0D" w14:textId="77777777" w:rsidTr="00366681">
        <w:tc>
          <w:tcPr>
            <w:tcW w:w="143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98C4619" w14:textId="77777777" w:rsidR="00CF59EF" w:rsidRDefault="000B5D37">
            <w:pPr>
              <w:spacing w:line="260" w:lineRule="atLeast"/>
              <w:rPr>
                <w:rFonts w:eastAsia="Calibri"/>
                <w:b/>
                <w:lang w:eastAsia="en-US"/>
              </w:rPr>
            </w:pPr>
            <w:r>
              <w:rPr>
                <w:rFonts w:eastAsia="Calibri"/>
                <w:b/>
                <w:lang w:eastAsia="en-US"/>
              </w:rPr>
              <w:t>Scenarios combined</w:t>
            </w:r>
          </w:p>
        </w:tc>
        <w:tc>
          <w:tcPr>
            <w:tcW w:w="114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56A0280" w14:textId="77777777" w:rsidR="00CF59EF" w:rsidRDefault="000B5D37">
            <w:pPr>
              <w:spacing w:line="260" w:lineRule="atLeast"/>
              <w:rPr>
                <w:rFonts w:eastAsia="Calibri"/>
                <w:b/>
                <w:lang w:eastAsia="en-US"/>
              </w:rPr>
            </w:pPr>
            <w:r>
              <w:rPr>
                <w:rFonts w:eastAsia="Calibri"/>
                <w:b/>
                <w:lang w:eastAsia="en-US"/>
              </w:rPr>
              <w:t>Tier</w:t>
            </w:r>
          </w:p>
        </w:tc>
        <w:tc>
          <w:tcPr>
            <w:tcW w:w="132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EEEC509" w14:textId="77777777" w:rsidR="00CF59EF" w:rsidRDefault="000B5D37">
            <w:pPr>
              <w:spacing w:line="260" w:lineRule="atLeast"/>
              <w:rPr>
                <w:rFonts w:eastAsia="Calibri"/>
                <w:b/>
                <w:lang w:eastAsia="en-US"/>
              </w:rPr>
            </w:pPr>
            <w:r>
              <w:rPr>
                <w:rFonts w:eastAsia="Calibri"/>
                <w:b/>
                <w:lang w:eastAsia="en-US"/>
              </w:rPr>
              <w:t>Systemic NOAEL</w:t>
            </w:r>
          </w:p>
          <w:p w14:paraId="0909D0A0"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05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895423F" w14:textId="77777777" w:rsidR="00CF59EF" w:rsidRDefault="000B5D37">
            <w:pPr>
              <w:spacing w:line="260" w:lineRule="atLeast"/>
              <w:rPr>
                <w:rFonts w:eastAsia="Calibri"/>
                <w:b/>
                <w:lang w:val="es-ES" w:eastAsia="en-US"/>
              </w:rPr>
            </w:pPr>
            <w:r>
              <w:rPr>
                <w:rFonts w:eastAsia="Calibri"/>
                <w:b/>
                <w:lang w:val="es-ES" w:eastAsia="en-US"/>
              </w:rPr>
              <w:t>AEL</w:t>
            </w:r>
          </w:p>
          <w:p w14:paraId="711B4699"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50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E704202" w14:textId="77777777" w:rsidR="00CF59EF" w:rsidRDefault="000B5D37">
            <w:pPr>
              <w:spacing w:line="260" w:lineRule="atLeast"/>
              <w:rPr>
                <w:rFonts w:eastAsia="Calibri"/>
                <w:b/>
                <w:lang w:eastAsia="en-US"/>
              </w:rPr>
            </w:pPr>
            <w:r>
              <w:rPr>
                <w:rFonts w:eastAsia="Calibri"/>
                <w:b/>
                <w:lang w:eastAsia="en-US"/>
              </w:rPr>
              <w:t>Estimated uptake</w:t>
            </w:r>
          </w:p>
          <w:p w14:paraId="73A12C40"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4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92B982D"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6879B2D0" w14:textId="77777777" w:rsidR="00CF59EF" w:rsidRDefault="000B5D37">
            <w:pPr>
              <w:spacing w:line="260" w:lineRule="atLeast"/>
              <w:rPr>
                <w:rFonts w:eastAsia="Calibri"/>
                <w:b/>
                <w:lang w:eastAsia="en-US"/>
              </w:rPr>
            </w:pPr>
            <w:r>
              <w:rPr>
                <w:rFonts w:eastAsia="Calibri"/>
                <w:b/>
                <w:lang w:eastAsia="en-US"/>
              </w:rPr>
              <w:t>(%)</w:t>
            </w:r>
          </w:p>
        </w:tc>
        <w:tc>
          <w:tcPr>
            <w:tcW w:w="155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FCDC5CF" w14:textId="77777777" w:rsidR="00CF59EF" w:rsidRDefault="000B5D37">
            <w:pPr>
              <w:spacing w:line="260" w:lineRule="atLeast"/>
              <w:rPr>
                <w:rFonts w:eastAsia="Calibri"/>
                <w:b/>
                <w:lang w:eastAsia="en-US"/>
              </w:rPr>
            </w:pPr>
            <w:r>
              <w:rPr>
                <w:rFonts w:eastAsia="Calibri"/>
                <w:b/>
                <w:lang w:eastAsia="en-US"/>
              </w:rPr>
              <w:t>Acceptable</w:t>
            </w:r>
          </w:p>
          <w:p w14:paraId="342A4D6C" w14:textId="77777777" w:rsidR="00CF59EF" w:rsidRDefault="000B5D37">
            <w:pPr>
              <w:spacing w:line="260" w:lineRule="atLeast"/>
              <w:rPr>
                <w:rFonts w:eastAsia="Calibri"/>
                <w:b/>
                <w:lang w:eastAsia="en-US"/>
              </w:rPr>
            </w:pPr>
            <w:r>
              <w:rPr>
                <w:rFonts w:eastAsia="Calibri"/>
                <w:b/>
                <w:lang w:eastAsia="en-US"/>
              </w:rPr>
              <w:t>(yes/no)</w:t>
            </w:r>
          </w:p>
        </w:tc>
      </w:tr>
      <w:tr w:rsidR="00CF59EF" w14:paraId="349FF5EC" w14:textId="77777777"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40CD3D" w14:textId="77777777" w:rsidR="00CF59EF" w:rsidRDefault="000B5D37" w:rsidP="00B25C64">
            <w:pPr>
              <w:spacing w:line="260" w:lineRule="atLeast"/>
              <w:rPr>
                <w:rFonts w:eastAsia="Calibri"/>
                <w:lang w:eastAsia="en-US"/>
              </w:rPr>
            </w:pPr>
            <w:r>
              <w:rPr>
                <w:rFonts w:eastAsia="Calibri"/>
                <w:lang w:eastAsia="en-US"/>
              </w:rPr>
              <w:t>Scenarios  7, 8, 9, 10, 12</w:t>
            </w:r>
            <w:r w:rsidR="00B25C64">
              <w:rPr>
                <w:rFonts w:eastAsia="Calibri"/>
                <w:lang w:eastAsia="en-US"/>
              </w:rPr>
              <w:t xml:space="preserve"> (adult)</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E7E1E" w14:textId="77777777" w:rsidR="00CF59EF" w:rsidRDefault="000B5D37">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092063" w14:textId="77777777" w:rsidR="00CF59EF" w:rsidRDefault="000B5D37">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C477C" w14:textId="77777777" w:rsidR="00CF59EF" w:rsidRDefault="000B5D37">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F51DD" w14:textId="77777777" w:rsidR="00CF59EF" w:rsidRDefault="000B5D37" w:rsidP="00366681">
            <w:pPr>
              <w:spacing w:line="260" w:lineRule="atLeast"/>
              <w:rPr>
                <w:rFonts w:eastAsia="Calibri"/>
                <w:lang w:eastAsia="en-US"/>
              </w:rPr>
            </w:pPr>
            <w:r>
              <w:rPr>
                <w:rFonts w:eastAsia="Calibri"/>
                <w:lang w:eastAsia="en-US"/>
              </w:rPr>
              <w:t>0.</w:t>
            </w:r>
            <w:r w:rsidR="00BC5238">
              <w:rPr>
                <w:rFonts w:eastAsia="Calibri"/>
                <w:lang w:eastAsia="en-US"/>
              </w:rPr>
              <w:t>8</w:t>
            </w:r>
            <w:r w:rsidR="00366681">
              <w:rPr>
                <w:rFonts w:eastAsia="Calibri"/>
                <w:lang w:eastAsia="en-US"/>
              </w:rPr>
              <w:t>90</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461C0" w14:textId="77777777" w:rsidR="00CF59EF" w:rsidRDefault="00BC5238" w:rsidP="00366681">
            <w:pPr>
              <w:spacing w:line="260" w:lineRule="atLeast"/>
              <w:rPr>
                <w:rFonts w:eastAsia="Calibri"/>
                <w:lang w:eastAsia="en-US"/>
              </w:rPr>
            </w:pPr>
            <w:r>
              <w:rPr>
                <w:rFonts w:eastAsia="Calibri"/>
                <w:lang w:eastAsia="en-US"/>
              </w:rPr>
              <w:t>17.</w:t>
            </w:r>
            <w:r w:rsidR="00366681">
              <w:rPr>
                <w:rFonts w:eastAsia="Calibri"/>
                <w:lang w:eastAsia="en-US"/>
              </w:rPr>
              <w:t>8</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6F41E" w14:textId="77777777" w:rsidR="00CF59EF" w:rsidRDefault="000B5D37">
            <w:pPr>
              <w:spacing w:line="260" w:lineRule="atLeast"/>
              <w:rPr>
                <w:rFonts w:eastAsia="Calibri"/>
                <w:lang w:eastAsia="en-US"/>
              </w:rPr>
            </w:pPr>
            <w:r>
              <w:rPr>
                <w:rFonts w:eastAsia="Calibri"/>
                <w:lang w:eastAsia="en-US"/>
              </w:rPr>
              <w:t>Yes</w:t>
            </w:r>
          </w:p>
        </w:tc>
      </w:tr>
      <w:tr w:rsidR="00CF59EF" w14:paraId="2C640593" w14:textId="77777777"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A1C19" w14:textId="77777777" w:rsidR="00CF59EF" w:rsidRDefault="000B5D37">
            <w:pPr>
              <w:spacing w:line="260" w:lineRule="atLeast"/>
              <w:rPr>
                <w:rFonts w:eastAsia="Calibri"/>
                <w:lang w:eastAsia="en-US"/>
              </w:rPr>
            </w:pPr>
            <w:r>
              <w:rPr>
                <w:rFonts w:eastAsia="Calibri"/>
                <w:lang w:eastAsia="en-US"/>
              </w:rPr>
              <w:t>Scenarios 11, 13</w:t>
            </w:r>
            <w:r w:rsidR="00E64D74">
              <w:rPr>
                <w:rFonts w:eastAsia="Calibri"/>
                <w:lang w:eastAsia="en-US"/>
              </w:rPr>
              <w:t>, 15</w:t>
            </w:r>
            <w:r w:rsidR="00B25C64">
              <w:rPr>
                <w:rFonts w:eastAsia="Calibri"/>
                <w:lang w:eastAsia="en-US"/>
              </w:rPr>
              <w:t xml:space="preserve"> (toddler)</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4E238" w14:textId="77777777" w:rsidR="00CF59EF" w:rsidRDefault="000B5D37">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750FD" w14:textId="77777777" w:rsidR="00CF59EF" w:rsidRDefault="000B5D37">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AE129" w14:textId="77777777" w:rsidR="00CF59EF" w:rsidRDefault="000B5D37">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BCC745" w14:textId="77777777" w:rsidR="00CF59EF" w:rsidRDefault="00C37D4D" w:rsidP="00821AB1">
            <w:pPr>
              <w:spacing w:line="260" w:lineRule="atLeast"/>
              <w:rPr>
                <w:rFonts w:eastAsia="Calibri"/>
                <w:lang w:eastAsia="en-US"/>
              </w:rPr>
            </w:pPr>
            <w:r>
              <w:rPr>
                <w:rFonts w:eastAsia="Calibri"/>
                <w:lang w:eastAsia="en-US"/>
              </w:rPr>
              <w:t>1.</w:t>
            </w:r>
            <w:r w:rsidR="00821AB1">
              <w:rPr>
                <w:rFonts w:eastAsia="Calibri"/>
                <w:lang w:eastAsia="en-US"/>
              </w:rPr>
              <w:t>53</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5990D" w14:textId="77777777" w:rsidR="00CF59EF" w:rsidRDefault="00C37D4D" w:rsidP="00821AB1">
            <w:pPr>
              <w:spacing w:line="260" w:lineRule="atLeast"/>
              <w:rPr>
                <w:rFonts w:eastAsia="Calibri"/>
                <w:lang w:eastAsia="en-US"/>
              </w:rPr>
            </w:pPr>
            <w:r>
              <w:rPr>
                <w:rFonts w:eastAsia="Calibri"/>
                <w:lang w:eastAsia="en-US"/>
              </w:rPr>
              <w:t>3</w:t>
            </w:r>
            <w:r w:rsidR="00821AB1">
              <w:rPr>
                <w:rFonts w:eastAsia="Calibri"/>
                <w:lang w:eastAsia="en-US"/>
              </w:rPr>
              <w:t>0.6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D72A6" w14:textId="77777777" w:rsidR="00CF59EF" w:rsidRDefault="000B5D37">
            <w:pPr>
              <w:spacing w:line="260" w:lineRule="atLeast"/>
              <w:rPr>
                <w:rFonts w:eastAsia="Calibri"/>
                <w:lang w:eastAsia="en-US"/>
              </w:rPr>
            </w:pPr>
            <w:r>
              <w:rPr>
                <w:rFonts w:eastAsia="Calibri"/>
                <w:lang w:eastAsia="en-US"/>
              </w:rPr>
              <w:t>Yes</w:t>
            </w:r>
          </w:p>
        </w:tc>
      </w:tr>
      <w:tr w:rsidR="00366681" w14:paraId="108310C7" w14:textId="77777777"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6A5E2" w14:textId="77777777" w:rsidR="00366681" w:rsidRDefault="00366681" w:rsidP="00366681">
            <w:pPr>
              <w:spacing w:line="260" w:lineRule="atLeast"/>
              <w:rPr>
                <w:rFonts w:eastAsia="Calibri"/>
                <w:lang w:eastAsia="en-US"/>
              </w:rPr>
            </w:pPr>
            <w:r>
              <w:rPr>
                <w:rFonts w:eastAsia="Calibri"/>
                <w:lang w:eastAsia="en-US"/>
              </w:rPr>
              <w:t>Scenarios  1 (Tier 2), 7, 8, 9, 10, 12 (industrial workers)</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67B8A" w14:textId="77777777" w:rsidR="00366681" w:rsidRDefault="00366681">
            <w:pPr>
              <w:spacing w:line="260" w:lineRule="atLeast"/>
              <w:rPr>
                <w:rFonts w:eastAsia="Calibri"/>
                <w:lang w:eastAsia="en-US"/>
              </w:rPr>
            </w:pPr>
            <w:r>
              <w:rPr>
                <w:rFonts w:eastAsia="Calibri"/>
                <w:lang w:eastAsia="en-US"/>
              </w:rPr>
              <w:t>2 (scenario 1),</w:t>
            </w:r>
          </w:p>
          <w:p w14:paraId="353E0598" w14:textId="77777777" w:rsidR="00366681" w:rsidRDefault="00366681">
            <w:pPr>
              <w:spacing w:line="260" w:lineRule="atLeast"/>
              <w:rPr>
                <w:rFonts w:eastAsia="Calibri"/>
                <w:lang w:eastAsia="en-US"/>
              </w:rPr>
            </w:pPr>
            <w:r>
              <w:rPr>
                <w:rFonts w:eastAsia="Calibri"/>
                <w:lang w:eastAsia="en-US"/>
              </w:rPr>
              <w:t>1 (scenario 7-12)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9755B" w14:textId="77777777" w:rsidR="00366681" w:rsidRDefault="00366681">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7F56F" w14:textId="77777777" w:rsidR="00366681" w:rsidRDefault="00366681">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F60D6" w14:textId="77777777" w:rsidR="00366681" w:rsidDel="00C37D4D" w:rsidRDefault="00366681" w:rsidP="00366681">
            <w:pPr>
              <w:spacing w:line="260" w:lineRule="atLeast"/>
              <w:rPr>
                <w:rFonts w:eastAsia="Calibri"/>
                <w:lang w:eastAsia="en-US"/>
              </w:rPr>
            </w:pPr>
            <w:r>
              <w:rPr>
                <w:rFonts w:eastAsia="Calibri"/>
                <w:lang w:eastAsia="en-US"/>
              </w:rPr>
              <w:t>2.04</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2F6D1" w14:textId="77777777" w:rsidR="00366681" w:rsidDel="00E64D74" w:rsidRDefault="00366681">
            <w:pPr>
              <w:spacing w:line="260" w:lineRule="atLeast"/>
              <w:rPr>
                <w:rFonts w:eastAsia="Calibri"/>
                <w:lang w:eastAsia="en-US"/>
              </w:rPr>
            </w:pPr>
            <w:r>
              <w:rPr>
                <w:rFonts w:eastAsia="Calibri"/>
                <w:lang w:eastAsia="en-US"/>
              </w:rPr>
              <w:t>40.8</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37A2F" w14:textId="77777777" w:rsidR="00366681" w:rsidRDefault="00366681">
            <w:pPr>
              <w:spacing w:line="260" w:lineRule="atLeast"/>
              <w:rPr>
                <w:rFonts w:eastAsia="Calibri"/>
                <w:lang w:eastAsia="en-US"/>
              </w:rPr>
            </w:pPr>
            <w:r>
              <w:rPr>
                <w:rFonts w:eastAsia="Calibri"/>
                <w:lang w:eastAsia="en-US"/>
              </w:rPr>
              <w:t>Yes</w:t>
            </w:r>
          </w:p>
        </w:tc>
      </w:tr>
      <w:tr w:rsidR="00366681" w14:paraId="66B881A4" w14:textId="77777777"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76283" w14:textId="77777777" w:rsidR="00366681" w:rsidRDefault="00366681" w:rsidP="00366681">
            <w:pPr>
              <w:spacing w:line="260" w:lineRule="atLeast"/>
              <w:rPr>
                <w:rFonts w:eastAsia="Calibri"/>
                <w:lang w:eastAsia="en-US"/>
              </w:rPr>
            </w:pPr>
            <w:r>
              <w:rPr>
                <w:rFonts w:eastAsia="Calibri"/>
                <w:lang w:eastAsia="en-US"/>
              </w:rPr>
              <w:t>Scenarios  3, 4, 5, 7, 8, 9, 10, 12 (professional workers)</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AE240" w14:textId="77777777" w:rsidR="00366681" w:rsidRDefault="00366681">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6A6F6" w14:textId="77777777" w:rsidR="00366681" w:rsidRDefault="00366681">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012FD" w14:textId="77777777" w:rsidR="00366681" w:rsidRDefault="00366681">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E57C21" w14:textId="77777777" w:rsidR="00366681" w:rsidDel="00C37D4D" w:rsidRDefault="00366681" w:rsidP="00366681">
            <w:pPr>
              <w:spacing w:line="260" w:lineRule="atLeast"/>
              <w:rPr>
                <w:rFonts w:eastAsia="Calibri"/>
                <w:lang w:eastAsia="en-US"/>
              </w:rPr>
            </w:pPr>
            <w:r>
              <w:rPr>
                <w:rFonts w:eastAsia="Calibri"/>
                <w:lang w:eastAsia="en-US"/>
              </w:rPr>
              <w:t>4.10</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D7E086" w14:textId="77777777" w:rsidR="00366681" w:rsidDel="00E64D74" w:rsidRDefault="00366681">
            <w:pPr>
              <w:spacing w:line="260" w:lineRule="atLeast"/>
              <w:rPr>
                <w:rFonts w:eastAsia="Calibri"/>
                <w:lang w:eastAsia="en-US"/>
              </w:rPr>
            </w:pPr>
            <w:r>
              <w:rPr>
                <w:rFonts w:eastAsia="Calibri"/>
                <w:lang w:eastAsia="en-US"/>
              </w:rPr>
              <w:t>82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D22AF" w14:textId="77777777" w:rsidR="00366681" w:rsidRDefault="00366681">
            <w:pPr>
              <w:spacing w:line="260" w:lineRule="atLeast"/>
              <w:rPr>
                <w:rFonts w:eastAsia="Calibri"/>
                <w:lang w:eastAsia="en-US"/>
              </w:rPr>
            </w:pPr>
            <w:r>
              <w:rPr>
                <w:rFonts w:eastAsia="Calibri"/>
                <w:lang w:eastAsia="en-US"/>
              </w:rPr>
              <w:t>Yes</w:t>
            </w:r>
          </w:p>
        </w:tc>
      </w:tr>
    </w:tbl>
    <w:p w14:paraId="4F526A43" w14:textId="77777777" w:rsidR="00CF59EF" w:rsidRDefault="00CF59EF">
      <w:pPr>
        <w:spacing w:line="260" w:lineRule="atLeast"/>
        <w:rPr>
          <w:rFonts w:ascii="Times New Roman" w:eastAsia="Calibri" w:hAnsi="Times New Roman"/>
          <w:i/>
          <w:iCs/>
          <w:lang w:eastAsia="en-US"/>
        </w:rPr>
      </w:pPr>
    </w:p>
    <w:p w14:paraId="27C36595" w14:textId="77777777" w:rsidR="00CF59EF" w:rsidRDefault="00CF59EF">
      <w:pPr>
        <w:spacing w:line="260" w:lineRule="atLeast"/>
        <w:rPr>
          <w:rFonts w:eastAsia="Calibri"/>
          <w:lang w:eastAsia="en-US"/>
        </w:rPr>
      </w:pPr>
    </w:p>
    <w:p w14:paraId="0E1CC56C" w14:textId="77777777" w:rsidR="00CF59EF" w:rsidRDefault="000B5D37">
      <w:pPr>
        <w:spacing w:line="260" w:lineRule="atLeast"/>
        <w:rPr>
          <w:rFonts w:eastAsia="Calibri"/>
          <w:b/>
          <w:bCs/>
          <w:lang w:eastAsia="en-US"/>
        </w:rPr>
      </w:pPr>
      <w:r>
        <w:rPr>
          <w:rFonts w:eastAsia="Calibri"/>
          <w:b/>
          <w:bCs/>
          <w:lang w:eastAsia="en-US"/>
        </w:rPr>
        <w:t xml:space="preserve">Local effects </w:t>
      </w:r>
    </w:p>
    <w:p w14:paraId="00CE6DDF" w14:textId="77777777" w:rsidR="00CF59EF" w:rsidRDefault="000B5D37">
      <w:pPr>
        <w:spacing w:line="260" w:lineRule="atLeast"/>
        <w:rPr>
          <w:rFonts w:eastAsia="Calibri"/>
          <w:iCs/>
          <w:sz w:val="18"/>
          <w:lang w:eastAsia="en-US"/>
        </w:rPr>
      </w:pPr>
      <w:r>
        <w:rPr>
          <w:rFonts w:eastAsia="Calibri"/>
          <w:iCs/>
          <w:lang w:eastAsia="en-US"/>
        </w:rPr>
        <w:t>Sodium benzoate is classi</w:t>
      </w:r>
      <w:r w:rsidR="00C92980">
        <w:rPr>
          <w:rFonts w:eastAsia="Calibri"/>
          <w:iCs/>
          <w:lang w:eastAsia="en-US"/>
        </w:rPr>
        <w:t>fi</w:t>
      </w:r>
      <w:r>
        <w:rPr>
          <w:rFonts w:eastAsia="Calibri"/>
          <w:iCs/>
          <w:lang w:eastAsia="en-US"/>
        </w:rPr>
        <w:t xml:space="preserve">ed as irritating to eyes; however, its maximal concentration of 2.5% (expressed as benzoic acid) in treated articles is below the classification limit for eye irritation according to Regulation 1272/2008/EC. Respectively, no adverse local effects due to exposure to sodium benzoate in treated articles is expected, and no risk assessment is necessary. </w:t>
      </w:r>
    </w:p>
    <w:p w14:paraId="0A59A8E1" w14:textId="77777777" w:rsidR="00CF59EF" w:rsidRDefault="00CF59EF">
      <w:pPr>
        <w:spacing w:line="260" w:lineRule="atLeast"/>
        <w:rPr>
          <w:rFonts w:eastAsia="Calibri"/>
          <w:lang w:eastAsia="en-US"/>
        </w:rPr>
      </w:pPr>
    </w:p>
    <w:p w14:paraId="2CB0814E" w14:textId="77777777" w:rsidR="00CF59EF" w:rsidRDefault="000B5D37">
      <w:pPr>
        <w:spacing w:line="260" w:lineRule="atLeast"/>
        <w:rPr>
          <w:rFonts w:eastAsia="Calibri"/>
          <w:b/>
          <w:bCs/>
          <w:lang w:eastAsia="en-US"/>
        </w:rPr>
      </w:pPr>
      <w:r>
        <w:rPr>
          <w:rFonts w:eastAsia="Calibri"/>
          <w:b/>
          <w:bCs/>
          <w:lang w:eastAsia="en-US"/>
        </w:rPr>
        <w:t>Conclusion</w:t>
      </w:r>
    </w:p>
    <w:p w14:paraId="0A5D49D8" w14:textId="77777777"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general public users from exposure to sodium benzoate due to the use of treated articles preserved with the product, during the use of dishwashing liquids, laundry detergents, and </w:t>
      </w:r>
      <w:r>
        <w:rPr>
          <w:rFonts w:eastAsia="Calibri"/>
          <w:iCs/>
          <w:lang w:eastAsia="en-US"/>
        </w:rPr>
        <w:lastRenderedPageBreak/>
        <w:t xml:space="preserve">cleaners. No adverse effects are expected for general public, including children, from exposure to sodium benzoate residues on laundered clothes and on washed dinnerware.  </w:t>
      </w:r>
    </w:p>
    <w:p w14:paraId="37E69DA7" w14:textId="77777777" w:rsidR="00CF59EF" w:rsidRDefault="00CF59EF">
      <w:pPr>
        <w:spacing w:line="260" w:lineRule="atLeast"/>
        <w:rPr>
          <w:rFonts w:eastAsia="Calibri"/>
          <w:iCs/>
          <w:lang w:eastAsia="en-US"/>
        </w:rPr>
      </w:pPr>
    </w:p>
    <w:p w14:paraId="253AD803" w14:textId="77777777" w:rsidR="00CF59EF" w:rsidRDefault="000B5D37">
      <w:pPr>
        <w:spacing w:line="260" w:lineRule="atLeast"/>
        <w:rPr>
          <w:rFonts w:eastAsia="Calibri"/>
          <w:iCs/>
          <w:lang w:eastAsia="en-US"/>
        </w:rPr>
      </w:pPr>
      <w:r>
        <w:rPr>
          <w:rFonts w:eastAsia="Calibri"/>
          <w:iCs/>
          <w:lang w:eastAsia="en-US"/>
        </w:rPr>
        <w:t xml:space="preserve">No adverse effects are expected for general public from combined exposure to sodium benzoate due to the use of treated articles preserved with the product from the use of dishwashing liquids, laundry detergents, and cleaners, and residue exposure on the laundered clothes and washed dishware. No adverse effects are expected for children from combined exposure to sodium benzoate due to residue exposure on the laundered clothes and washed dishware. </w:t>
      </w:r>
    </w:p>
    <w:p w14:paraId="5D7DC00F" w14:textId="77777777" w:rsidR="00CF59EF" w:rsidRDefault="00CF59EF">
      <w:pPr>
        <w:spacing w:line="260" w:lineRule="atLeast"/>
        <w:rPr>
          <w:rFonts w:eastAsia="Calibri"/>
          <w:lang w:eastAsia="en-US"/>
        </w:rPr>
      </w:pPr>
    </w:p>
    <w:p w14:paraId="3C3DD88A" w14:textId="77777777" w:rsidR="00CF59EF" w:rsidRDefault="000B5D37">
      <w:pPr>
        <w:rPr>
          <w:rFonts w:eastAsia="Calibri"/>
          <w:b/>
          <w:i/>
          <w:sz w:val="22"/>
          <w:szCs w:val="22"/>
          <w:lang w:eastAsia="en-US"/>
        </w:rPr>
      </w:pPr>
      <w:bookmarkStart w:id="1526" w:name="_Toc403472779"/>
      <w:bookmarkStart w:id="1527" w:name="_Toc389729093"/>
      <w:bookmarkEnd w:id="1526"/>
      <w:bookmarkEnd w:id="1527"/>
      <w:r>
        <w:rPr>
          <w:rFonts w:eastAsia="Calibri"/>
          <w:b/>
          <w:i/>
          <w:sz w:val="22"/>
          <w:szCs w:val="22"/>
          <w:lang w:eastAsia="en-US"/>
        </w:rPr>
        <w:t>Risk for consumers via residues in food</w:t>
      </w:r>
    </w:p>
    <w:p w14:paraId="2BA8FED9" w14:textId="77777777"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1"/>
        <w:gridCol w:w="850"/>
        <w:gridCol w:w="1560"/>
        <w:gridCol w:w="992"/>
        <w:gridCol w:w="1416"/>
        <w:gridCol w:w="1418"/>
        <w:gridCol w:w="1559"/>
      </w:tblGrid>
      <w:tr w:rsidR="00CF59EF" w14:paraId="10ABD9D1" w14:textId="77777777">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D45A712" w14:textId="77777777" w:rsidR="00CF59EF" w:rsidRDefault="000B5D37">
            <w:pPr>
              <w:spacing w:line="260" w:lineRule="atLeast"/>
              <w:rPr>
                <w:rFonts w:eastAsia="Calibri"/>
                <w:b/>
                <w:lang w:eastAsia="en-US"/>
              </w:rPr>
            </w:pPr>
            <w:r>
              <w:rPr>
                <w:rFonts w:eastAsia="Calibri"/>
                <w:b/>
                <w:lang w:eastAsia="en-US"/>
              </w:rPr>
              <w:t>Task/</w:t>
            </w:r>
          </w:p>
          <w:p w14:paraId="44272805" w14:textId="77777777"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D37106C" w14:textId="77777777" w:rsidR="00CF59EF" w:rsidRDefault="000B5D37">
            <w:pPr>
              <w:spacing w:line="260" w:lineRule="atLeast"/>
              <w:rPr>
                <w:rFonts w:eastAsia="Calibri"/>
                <w:b/>
                <w:lang w:eastAsia="en-US"/>
              </w:rPr>
            </w:pPr>
            <w:r>
              <w:rPr>
                <w:rFonts w:eastAsia="Calibri"/>
                <w:b/>
                <w:lang w:eastAsia="en-US"/>
              </w:rPr>
              <w:t>Tier</w:t>
            </w:r>
          </w:p>
        </w:tc>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47DD973" w14:textId="77777777" w:rsidR="00CF59EF" w:rsidRDefault="000B5D37">
            <w:pPr>
              <w:spacing w:line="260" w:lineRule="atLeast"/>
              <w:rPr>
                <w:rFonts w:eastAsia="Calibri"/>
                <w:b/>
                <w:lang w:eastAsia="en-US"/>
              </w:rPr>
            </w:pPr>
            <w:r>
              <w:rPr>
                <w:rFonts w:eastAsia="Calibri"/>
                <w:b/>
                <w:lang w:eastAsia="en-US"/>
              </w:rPr>
              <w:t>Systemic NOAEL</w:t>
            </w:r>
          </w:p>
          <w:p w14:paraId="5B0BDEED"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174153E" w14:textId="77777777" w:rsidR="00CF59EF" w:rsidRDefault="000B5D37">
            <w:pPr>
              <w:spacing w:line="260" w:lineRule="atLeast"/>
              <w:rPr>
                <w:rFonts w:eastAsia="Calibri"/>
                <w:b/>
                <w:lang w:val="es-ES" w:eastAsia="en-US"/>
              </w:rPr>
            </w:pPr>
            <w:r>
              <w:rPr>
                <w:rFonts w:eastAsia="Calibri"/>
                <w:b/>
                <w:lang w:val="es-ES" w:eastAsia="en-US"/>
              </w:rPr>
              <w:t>AEL</w:t>
            </w:r>
          </w:p>
          <w:p w14:paraId="0D5FE1FD" w14:textId="77777777"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1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26D6121" w14:textId="77777777" w:rsidR="00CF59EF" w:rsidRDefault="000B5D37">
            <w:pPr>
              <w:spacing w:line="260" w:lineRule="atLeast"/>
              <w:rPr>
                <w:rFonts w:eastAsia="Calibri"/>
                <w:b/>
                <w:lang w:eastAsia="en-US"/>
              </w:rPr>
            </w:pPr>
            <w:r>
              <w:rPr>
                <w:rFonts w:eastAsia="Calibri"/>
                <w:b/>
                <w:lang w:eastAsia="en-US"/>
              </w:rPr>
              <w:t>Estimated uptake</w:t>
            </w:r>
          </w:p>
          <w:p w14:paraId="29340E00" w14:textId="77777777"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D09D5C3" w14:textId="77777777" w:rsidR="00CF59EF" w:rsidRDefault="000B5D37">
            <w:pPr>
              <w:spacing w:line="260" w:lineRule="atLeast"/>
              <w:rPr>
                <w:rFonts w:eastAsia="Calibri"/>
                <w:b/>
                <w:lang w:eastAsia="en-US"/>
              </w:rPr>
            </w:pPr>
            <w:r>
              <w:rPr>
                <w:rFonts w:eastAsia="Calibri"/>
                <w:b/>
                <w:lang w:eastAsia="en-US"/>
              </w:rPr>
              <w:t xml:space="preserve">Estimated uptake/ AEL </w:t>
            </w:r>
          </w:p>
          <w:p w14:paraId="0D5A89C9" w14:textId="77777777" w:rsidR="00CF59EF" w:rsidRDefault="000B5D37">
            <w:pPr>
              <w:spacing w:line="260" w:lineRule="atLeast"/>
              <w:rPr>
                <w:rFonts w:eastAsia="Calibri"/>
                <w:b/>
                <w:lang w:eastAsia="en-US"/>
              </w:rPr>
            </w:pPr>
            <w:r>
              <w:rPr>
                <w:rFonts w:eastAsia="Calibri"/>
                <w:b/>
                <w:lang w:eastAsia="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564A5BB" w14:textId="77777777" w:rsidR="00CF59EF" w:rsidRDefault="000B5D37">
            <w:pPr>
              <w:spacing w:line="260" w:lineRule="atLeast"/>
              <w:rPr>
                <w:rFonts w:eastAsia="Calibri"/>
                <w:b/>
                <w:lang w:eastAsia="en-US"/>
              </w:rPr>
            </w:pPr>
            <w:r>
              <w:rPr>
                <w:rFonts w:eastAsia="Calibri"/>
                <w:b/>
                <w:lang w:eastAsia="en-US"/>
              </w:rPr>
              <w:t>Acceptable</w:t>
            </w:r>
          </w:p>
          <w:p w14:paraId="6136DC3C" w14:textId="77777777" w:rsidR="00CF59EF" w:rsidRDefault="000B5D37">
            <w:pPr>
              <w:spacing w:line="260" w:lineRule="atLeast"/>
              <w:rPr>
                <w:rFonts w:eastAsia="Calibri"/>
                <w:b/>
                <w:lang w:eastAsia="en-US"/>
              </w:rPr>
            </w:pPr>
            <w:r>
              <w:rPr>
                <w:rFonts w:eastAsia="Calibri"/>
                <w:b/>
                <w:lang w:eastAsia="en-US"/>
              </w:rPr>
              <w:t>(yes/no)</w:t>
            </w:r>
          </w:p>
        </w:tc>
      </w:tr>
      <w:tr w:rsidR="00CF59EF" w14:paraId="43372119"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FEF9C" w14:textId="77777777" w:rsidR="00CF59EF" w:rsidRDefault="000B5D37">
            <w:pPr>
              <w:spacing w:line="260" w:lineRule="atLeast"/>
              <w:rPr>
                <w:rFonts w:eastAsia="Calibri"/>
                <w:lang w:eastAsia="en-US"/>
              </w:rPr>
            </w:pPr>
            <w:r>
              <w:rPr>
                <w:rFonts w:eastAsia="Calibri"/>
                <w:lang w:eastAsia="en-US"/>
              </w:rPr>
              <w:t>Scenario 14: exposure to residues in food due to transfer from cleaned surfaces (e.g. kitchen tops)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7EE7D" w14:textId="77777777" w:rsidR="00CF59EF" w:rsidRDefault="000B5D37">
            <w:pPr>
              <w:spacing w:line="260" w:lineRule="atLeast"/>
              <w:rPr>
                <w:rFonts w:eastAsia="Calibri"/>
                <w:lang w:eastAsia="en-US"/>
              </w:rPr>
            </w:pPr>
            <w:r>
              <w:rPr>
                <w:rFonts w:eastAsia="Calibri"/>
                <w:lang w:eastAsia="en-US"/>
              </w:rPr>
              <w:t>13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521CE" w14:textId="77777777"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EA0FF" w14:textId="77777777" w:rsidR="00CF59EF" w:rsidRDefault="000B5D37">
            <w:pPr>
              <w:spacing w:line="260" w:lineRule="atLeast"/>
              <w:rPr>
                <w:rFonts w:eastAsia="Calibri"/>
                <w:lang w:eastAsia="en-US"/>
              </w:rPr>
            </w:pPr>
            <w:r>
              <w:rPr>
                <w:rFonts w:eastAsia="Calibri"/>
                <w:lang w:eastAsia="en-US"/>
              </w:rPr>
              <w:t>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132338" w14:textId="77777777" w:rsidR="00CF59EF" w:rsidRDefault="000B5D37">
            <w:pPr>
              <w:spacing w:line="260" w:lineRule="atLeast"/>
              <w:rPr>
                <w:rFonts w:eastAsia="Calibri"/>
                <w:lang w:eastAsia="en-US"/>
              </w:rPr>
            </w:pPr>
            <w:r>
              <w:rPr>
                <w:rFonts w:eastAsia="Calibri"/>
                <w:lang w:eastAsia="en-US"/>
              </w:rPr>
              <w:t>0.00493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AC0E2" w14:textId="77777777" w:rsidR="00CF59EF" w:rsidRDefault="000B5D37">
            <w:pPr>
              <w:spacing w:line="260" w:lineRule="atLeast"/>
              <w:rPr>
                <w:rFonts w:eastAsia="Calibri"/>
                <w:lang w:eastAsia="en-US"/>
              </w:rPr>
            </w:pPr>
            <w:r>
              <w:rPr>
                <w:rFonts w:eastAsia="Calibri"/>
                <w:lang w:eastAsia="en-US"/>
              </w:rPr>
              <w:t>0.10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67804" w14:textId="77777777" w:rsidR="00CF59EF" w:rsidRDefault="000B5D37">
            <w:pPr>
              <w:spacing w:line="260" w:lineRule="atLeast"/>
              <w:rPr>
                <w:rFonts w:eastAsia="Calibri"/>
                <w:lang w:eastAsia="en-US"/>
              </w:rPr>
            </w:pPr>
            <w:r>
              <w:rPr>
                <w:rFonts w:eastAsia="Calibri"/>
                <w:lang w:eastAsia="en-US"/>
              </w:rPr>
              <w:t>Yes</w:t>
            </w:r>
          </w:p>
        </w:tc>
      </w:tr>
    </w:tbl>
    <w:p w14:paraId="34FD886F" w14:textId="77777777" w:rsidR="00CF59EF" w:rsidRDefault="00CF59EF">
      <w:pPr>
        <w:spacing w:line="260" w:lineRule="atLeast"/>
        <w:rPr>
          <w:rFonts w:eastAsia="Calibri"/>
          <w:lang w:eastAsia="en-US"/>
        </w:rPr>
      </w:pPr>
    </w:p>
    <w:p w14:paraId="7D67E7AE" w14:textId="77777777" w:rsidR="00CF59EF" w:rsidRDefault="00CF59EF">
      <w:pPr>
        <w:spacing w:line="260" w:lineRule="atLeast"/>
        <w:rPr>
          <w:rFonts w:eastAsia="Calibri"/>
          <w:lang w:eastAsia="en-US"/>
        </w:rPr>
      </w:pPr>
    </w:p>
    <w:p w14:paraId="16300ADB" w14:textId="77777777" w:rsidR="00CF59EF" w:rsidRDefault="000B5D37">
      <w:pPr>
        <w:rPr>
          <w:rFonts w:eastAsia="Calibri"/>
          <w:b/>
          <w:i/>
          <w:sz w:val="22"/>
          <w:szCs w:val="22"/>
          <w:lang w:eastAsia="en-US"/>
        </w:rPr>
      </w:pPr>
      <w:bookmarkStart w:id="1528" w:name="_Toc403472780"/>
      <w:bookmarkStart w:id="1529" w:name="_Toc389729094"/>
      <w:r>
        <w:rPr>
          <w:rFonts w:eastAsia="Calibri"/>
          <w:b/>
          <w:i/>
          <w:sz w:val="22"/>
          <w:szCs w:val="22"/>
          <w:lang w:eastAsia="en-US"/>
        </w:rPr>
        <w:t>Risk characterisation from combined exposure to several active substances or substances of concern within a biocidal product</w:t>
      </w:r>
      <w:bookmarkEnd w:id="1528"/>
      <w:bookmarkEnd w:id="1529"/>
      <w:r>
        <w:rPr>
          <w:rFonts w:eastAsia="Calibri"/>
          <w:b/>
          <w:i/>
          <w:sz w:val="22"/>
          <w:szCs w:val="22"/>
          <w:lang w:eastAsia="en-US"/>
        </w:rPr>
        <w:t xml:space="preserve"> </w:t>
      </w:r>
    </w:p>
    <w:p w14:paraId="4C1D24C9" w14:textId="77777777" w:rsidR="00CF59EF" w:rsidRDefault="00CF59EF">
      <w:pPr>
        <w:spacing w:line="260" w:lineRule="atLeast"/>
        <w:rPr>
          <w:rFonts w:ascii="Times New Roman" w:eastAsia="Calibri" w:hAnsi="Times New Roman"/>
          <w:iCs/>
          <w:lang w:eastAsia="en-US"/>
        </w:rPr>
      </w:pPr>
    </w:p>
    <w:p w14:paraId="151919D3" w14:textId="77777777" w:rsidR="00CF59EF" w:rsidRDefault="000B5D37">
      <w:pPr>
        <w:spacing w:line="260" w:lineRule="atLeast"/>
        <w:rPr>
          <w:rFonts w:eastAsia="Calibri"/>
          <w:iCs/>
          <w:lang w:eastAsia="en-US"/>
        </w:rPr>
      </w:pPr>
      <w:r>
        <w:rPr>
          <w:rFonts w:eastAsia="Calibri"/>
          <w:iCs/>
          <w:lang w:eastAsia="en-US"/>
        </w:rPr>
        <w:t xml:space="preserve">The biocidal product </w:t>
      </w:r>
      <w:proofErr w:type="spellStart"/>
      <w:r>
        <w:rPr>
          <w:rFonts w:eastAsia="Calibri"/>
          <w:iCs/>
          <w:lang w:eastAsia="en-US"/>
        </w:rPr>
        <w:t>Purox</w:t>
      </w:r>
      <w:proofErr w:type="spellEnd"/>
      <w:r>
        <w:rPr>
          <w:rFonts w:eastAsia="Calibri"/>
          <w:iCs/>
          <w:vertAlign w:val="superscript"/>
          <w:lang w:eastAsia="en-US"/>
        </w:rPr>
        <w:t>®</w:t>
      </w:r>
      <w:r>
        <w:rPr>
          <w:rFonts w:eastAsia="Calibri"/>
          <w:iCs/>
          <w:lang w:eastAsia="en-US"/>
        </w:rPr>
        <w:t xml:space="preserve"> Clean contains 100% sodium benzoate (&gt; 99.9% (w/w) pure). It does not contain any substances of concern and is not intended to use in combination with other active substances. </w:t>
      </w:r>
    </w:p>
    <w:p w14:paraId="7F006F38" w14:textId="77777777" w:rsidR="00CF59EF" w:rsidRDefault="00CF59EF">
      <w:pPr>
        <w:spacing w:line="260" w:lineRule="atLeast"/>
        <w:rPr>
          <w:rFonts w:ascii="Times New Roman" w:eastAsia="Calibri" w:hAnsi="Times New Roman"/>
          <w:i/>
          <w:iCs/>
          <w:lang w:eastAsia="en-US"/>
        </w:rPr>
      </w:pPr>
    </w:p>
    <w:p w14:paraId="4EB7A0B1" w14:textId="77777777" w:rsidR="00CF59EF" w:rsidRDefault="000B5D37" w:rsidP="00172945">
      <w:pPr>
        <w:pStyle w:val="Heading2"/>
        <w:numPr>
          <w:ilvl w:val="2"/>
          <w:numId w:val="2"/>
        </w:numPr>
        <w:ind w:left="720"/>
      </w:pPr>
      <w:bookmarkStart w:id="1530" w:name="_Toc389729095"/>
      <w:bookmarkStart w:id="1531" w:name="_Toc389728737"/>
      <w:bookmarkStart w:id="1532" w:name="_Toc389728377"/>
      <w:bookmarkStart w:id="1533" w:name="_Toc389728018"/>
      <w:bookmarkStart w:id="1534" w:name="_Toc389727659"/>
      <w:bookmarkStart w:id="1535" w:name="_Toc389727301"/>
      <w:bookmarkStart w:id="1536" w:name="_Toc389726249"/>
      <w:bookmarkStart w:id="1537" w:name="_Toc388285322"/>
      <w:bookmarkStart w:id="1538" w:name="_Toc403566578"/>
      <w:bookmarkStart w:id="1539" w:name="_Toc403472781"/>
      <w:bookmarkStart w:id="1540" w:name="_Toc389729096"/>
      <w:bookmarkStart w:id="1541" w:name="_Toc531868672"/>
      <w:bookmarkEnd w:id="1530"/>
      <w:bookmarkEnd w:id="1531"/>
      <w:bookmarkEnd w:id="1532"/>
      <w:bookmarkEnd w:id="1533"/>
      <w:bookmarkEnd w:id="1534"/>
      <w:bookmarkEnd w:id="1535"/>
      <w:bookmarkEnd w:id="1536"/>
      <w:bookmarkEnd w:id="1537"/>
      <w:bookmarkEnd w:id="1538"/>
      <w:bookmarkEnd w:id="1539"/>
      <w:bookmarkEnd w:id="1540"/>
      <w:r>
        <w:t>Risk assessment for animal health</w:t>
      </w:r>
      <w:bookmarkEnd w:id="1541"/>
    </w:p>
    <w:p w14:paraId="759C8F1F" w14:textId="77777777" w:rsidR="00CF59EF" w:rsidRDefault="000B5D37">
      <w:pPr>
        <w:spacing w:line="260" w:lineRule="atLeast"/>
        <w:jc w:val="both"/>
        <w:rPr>
          <w:rFonts w:eastAsia="Calibri"/>
          <w:iCs/>
          <w:lang w:eastAsia="en-US"/>
        </w:rPr>
      </w:pPr>
      <w:r>
        <w:rPr>
          <w:rFonts w:eastAsia="Calibri"/>
          <w:iCs/>
          <w:lang w:eastAsia="en-US"/>
        </w:rPr>
        <w:t xml:space="preserve">. </w:t>
      </w:r>
    </w:p>
    <w:p w14:paraId="122B9CE3" w14:textId="77777777" w:rsidR="00C37D4D" w:rsidRDefault="00C37D4D" w:rsidP="00C37D4D">
      <w:pPr>
        <w:spacing w:line="260" w:lineRule="atLeast"/>
        <w:jc w:val="both"/>
        <w:rPr>
          <w:rFonts w:eastAsia="Calibri"/>
          <w:iCs/>
          <w:lang w:eastAsia="en-US"/>
        </w:rPr>
      </w:pPr>
      <w:r>
        <w:rPr>
          <w:rFonts w:eastAsia="Calibri"/>
          <w:iCs/>
          <w:lang w:eastAsia="en-US"/>
        </w:rPr>
        <w:t>T</w:t>
      </w:r>
      <w:r w:rsidRPr="00C37D4D">
        <w:rPr>
          <w:rFonts w:eastAsia="Calibri"/>
          <w:iCs/>
          <w:lang w:eastAsia="en-US"/>
        </w:rPr>
        <w:t xml:space="preserve">here could also be animal exposure when using the biocidal product because animals could have contact to surfaces treated with all-purpose cleaners and to laundered bed clothes or other textiles. </w:t>
      </w:r>
      <w:r>
        <w:rPr>
          <w:rFonts w:eastAsia="Calibri"/>
          <w:iCs/>
          <w:lang w:eastAsia="en-US"/>
        </w:rPr>
        <w:t>C</w:t>
      </w:r>
      <w:r w:rsidRPr="00C37D4D">
        <w:rPr>
          <w:rFonts w:eastAsia="Calibri"/>
          <w:iCs/>
          <w:lang w:eastAsia="en-US"/>
        </w:rPr>
        <w:t xml:space="preserve">ats seem to be more sensitive </w:t>
      </w:r>
      <w:r w:rsidR="00FC4617">
        <w:rPr>
          <w:rFonts w:eastAsia="Calibri"/>
          <w:iCs/>
          <w:lang w:eastAsia="en-US"/>
        </w:rPr>
        <w:t xml:space="preserve">than other species </w:t>
      </w:r>
      <w:r w:rsidRPr="00C37D4D">
        <w:rPr>
          <w:rFonts w:eastAsia="Calibri"/>
          <w:iCs/>
          <w:lang w:eastAsia="en-US"/>
        </w:rPr>
        <w:t>(reports of sodium benzoate of WHO 2000, 2005).</w:t>
      </w:r>
      <w:r>
        <w:rPr>
          <w:rFonts w:eastAsia="Calibri"/>
          <w:iCs/>
          <w:lang w:eastAsia="en-US"/>
        </w:rPr>
        <w:t xml:space="preserve"> </w:t>
      </w:r>
      <w:r w:rsidR="00FC4617" w:rsidRPr="00C37D4D">
        <w:rPr>
          <w:rFonts w:eastAsia="Calibri"/>
          <w:iCs/>
          <w:lang w:eastAsia="en-US"/>
        </w:rPr>
        <w:t>In cats, glucuronidation is generally very low. As glucuronidation is one of the detoxification routes for benzoic acid, cats may be sensitive to sodium benzoate than other species.</w:t>
      </w:r>
    </w:p>
    <w:p w14:paraId="2E2E776C" w14:textId="77777777" w:rsidR="00C37D4D" w:rsidRDefault="00C37D4D" w:rsidP="00C37D4D">
      <w:pPr>
        <w:spacing w:line="260" w:lineRule="atLeast"/>
        <w:jc w:val="both"/>
        <w:rPr>
          <w:rFonts w:eastAsia="Calibri"/>
          <w:iCs/>
          <w:lang w:eastAsia="en-US"/>
        </w:rPr>
      </w:pPr>
    </w:p>
    <w:p w14:paraId="47A84499" w14:textId="77777777" w:rsidR="00C37D4D" w:rsidRDefault="00C37D4D">
      <w:pPr>
        <w:spacing w:line="260" w:lineRule="atLeast"/>
        <w:jc w:val="both"/>
        <w:rPr>
          <w:rFonts w:eastAsia="Calibri"/>
          <w:iCs/>
          <w:lang w:eastAsia="en-US"/>
        </w:rPr>
      </w:pPr>
      <w:r>
        <w:rPr>
          <w:rFonts w:eastAsia="Calibri"/>
          <w:iCs/>
          <w:lang w:eastAsia="en-US"/>
        </w:rPr>
        <w:t>The</w:t>
      </w:r>
      <w:r w:rsidR="00FC4617">
        <w:rPr>
          <w:rFonts w:eastAsia="Calibri"/>
          <w:iCs/>
          <w:lang w:eastAsia="en-US"/>
        </w:rPr>
        <w:t xml:space="preserve"> exposure of animal</w:t>
      </w:r>
      <w:r>
        <w:rPr>
          <w:rFonts w:eastAsia="Calibri"/>
          <w:iCs/>
          <w:lang w:eastAsia="en-US"/>
        </w:rPr>
        <w:t xml:space="preserve"> including cats</w:t>
      </w:r>
      <w:r w:rsidRPr="00C37D4D">
        <w:rPr>
          <w:rFonts w:eastAsia="Calibri"/>
          <w:iCs/>
          <w:lang w:eastAsia="en-US"/>
        </w:rPr>
        <w:t xml:space="preserve"> </w:t>
      </w:r>
      <w:r w:rsidR="00FC4617">
        <w:rPr>
          <w:rFonts w:eastAsia="Calibri"/>
          <w:iCs/>
          <w:lang w:eastAsia="en-US"/>
        </w:rPr>
        <w:t>is</w:t>
      </w:r>
      <w:r>
        <w:rPr>
          <w:rFonts w:eastAsia="Calibri"/>
          <w:iCs/>
          <w:lang w:eastAsia="en-US"/>
        </w:rPr>
        <w:t xml:space="preserve"> however</w:t>
      </w:r>
      <w:r w:rsidRPr="00C37D4D">
        <w:rPr>
          <w:rFonts w:eastAsia="Calibri"/>
          <w:iCs/>
          <w:lang w:eastAsia="en-US"/>
        </w:rPr>
        <w:t xml:space="preserve"> covered with a toddler dermal exposure and hand-to-mouth exposure (</w:t>
      </w:r>
      <w:r>
        <w:rPr>
          <w:rFonts w:eastAsia="Calibri"/>
          <w:iCs/>
          <w:lang w:eastAsia="en-US"/>
        </w:rPr>
        <w:t>scenario 15</w:t>
      </w:r>
      <w:r w:rsidRPr="00C37D4D">
        <w:rPr>
          <w:rFonts w:eastAsia="Calibri"/>
          <w:iCs/>
          <w:lang w:eastAsia="en-US"/>
        </w:rPr>
        <w:t xml:space="preserve">). The LD50 for cats is reported to be 450 mg/kg </w:t>
      </w:r>
      <w:proofErr w:type="spellStart"/>
      <w:r w:rsidRPr="00C37D4D">
        <w:rPr>
          <w:rFonts w:eastAsia="Calibri"/>
          <w:iCs/>
          <w:lang w:eastAsia="en-US"/>
        </w:rPr>
        <w:t>bw</w:t>
      </w:r>
      <w:proofErr w:type="spellEnd"/>
      <w:r w:rsidRPr="00C37D4D">
        <w:rPr>
          <w:rFonts w:eastAsia="Calibri"/>
          <w:iCs/>
          <w:lang w:eastAsia="en-US"/>
        </w:rPr>
        <w:t>, which is lower than LD</w:t>
      </w:r>
      <w:r w:rsidRPr="00366681">
        <w:rPr>
          <w:rFonts w:eastAsia="Calibri"/>
          <w:iCs/>
          <w:vertAlign w:val="subscript"/>
          <w:lang w:eastAsia="en-US"/>
        </w:rPr>
        <w:t>50</w:t>
      </w:r>
      <w:r w:rsidRPr="00C37D4D">
        <w:rPr>
          <w:rFonts w:eastAsia="Calibri"/>
          <w:iCs/>
          <w:lang w:eastAsia="en-US"/>
        </w:rPr>
        <w:t xml:space="preserve"> for rodents that are reported to be &gt;1940 mg/kg </w:t>
      </w:r>
      <w:proofErr w:type="spellStart"/>
      <w:r w:rsidRPr="00C37D4D">
        <w:rPr>
          <w:rFonts w:eastAsia="Calibri"/>
          <w:iCs/>
          <w:lang w:eastAsia="en-US"/>
        </w:rPr>
        <w:t>bw</w:t>
      </w:r>
      <w:proofErr w:type="spellEnd"/>
      <w:r w:rsidRPr="00C37D4D">
        <w:rPr>
          <w:rFonts w:eastAsia="Calibri"/>
          <w:iCs/>
          <w:lang w:eastAsia="en-US"/>
        </w:rPr>
        <w:t xml:space="preserve">. The interspecies difference is 4.3-fold. As for the toddler risk assessment a safety factor of 100 was applied to derive the AEL of 5 mg/kg </w:t>
      </w:r>
      <w:proofErr w:type="spellStart"/>
      <w:r w:rsidRPr="00C37D4D">
        <w:rPr>
          <w:rFonts w:eastAsia="Calibri"/>
          <w:iCs/>
          <w:lang w:eastAsia="en-US"/>
        </w:rPr>
        <w:t>bw</w:t>
      </w:r>
      <w:proofErr w:type="spellEnd"/>
      <w:r w:rsidRPr="00C37D4D">
        <w:rPr>
          <w:rFonts w:eastAsia="Calibri"/>
          <w:iCs/>
          <w:lang w:eastAsia="en-US"/>
        </w:rPr>
        <w:t xml:space="preserve"> for human from the  NOAEL 500 mg/kg </w:t>
      </w:r>
      <w:proofErr w:type="spellStart"/>
      <w:r w:rsidRPr="00C37D4D">
        <w:rPr>
          <w:rFonts w:eastAsia="Calibri"/>
          <w:iCs/>
          <w:lang w:eastAsia="en-US"/>
        </w:rPr>
        <w:t>bw</w:t>
      </w:r>
      <w:proofErr w:type="spellEnd"/>
      <w:r w:rsidRPr="00C37D4D">
        <w:rPr>
          <w:rFonts w:eastAsia="Calibri"/>
          <w:iCs/>
          <w:lang w:eastAsia="en-US"/>
        </w:rPr>
        <w:t xml:space="preserve"> for rats, and considering the exposure of tod</w:t>
      </w:r>
      <w:r>
        <w:rPr>
          <w:rFonts w:eastAsia="Calibri"/>
          <w:iCs/>
          <w:lang w:eastAsia="en-US"/>
        </w:rPr>
        <w:t>dler was calculated to be only 5.6</w:t>
      </w:r>
      <w:r w:rsidRPr="00C37D4D">
        <w:rPr>
          <w:rFonts w:eastAsia="Calibri"/>
          <w:iCs/>
          <w:lang w:eastAsia="en-US"/>
        </w:rPr>
        <w:t>%</w:t>
      </w:r>
      <w:r>
        <w:rPr>
          <w:rFonts w:eastAsia="Calibri"/>
          <w:iCs/>
          <w:lang w:eastAsia="en-US"/>
        </w:rPr>
        <w:t xml:space="preserve"> </w:t>
      </w:r>
      <w:r w:rsidRPr="00C37D4D">
        <w:rPr>
          <w:rFonts w:eastAsia="Calibri"/>
          <w:iCs/>
          <w:lang w:eastAsia="en-US"/>
        </w:rPr>
        <w:t xml:space="preserve">of the AEL, the </w:t>
      </w:r>
      <w:r w:rsidRPr="00C37D4D">
        <w:rPr>
          <w:rFonts w:eastAsia="Calibri"/>
          <w:iCs/>
          <w:lang w:eastAsia="en-US"/>
        </w:rPr>
        <w:lastRenderedPageBreak/>
        <w:t xml:space="preserve">exposure for domestic animals including cats to sodium benzoate is not expected to cause adverse effects from the use of </w:t>
      </w:r>
      <w:proofErr w:type="spellStart"/>
      <w:r w:rsidRPr="00C37D4D">
        <w:rPr>
          <w:rFonts w:eastAsia="Calibri"/>
          <w:iCs/>
          <w:lang w:eastAsia="en-US"/>
        </w:rPr>
        <w:t>Purox</w:t>
      </w:r>
      <w:proofErr w:type="spellEnd"/>
      <w:r w:rsidRPr="00C37D4D">
        <w:rPr>
          <w:rFonts w:eastAsia="Calibri"/>
          <w:iCs/>
          <w:lang w:eastAsia="en-US"/>
        </w:rPr>
        <w:t xml:space="preserve"> Clean.</w:t>
      </w:r>
    </w:p>
    <w:p w14:paraId="1D5C7DAC" w14:textId="77777777" w:rsidR="00CF59EF" w:rsidRDefault="00CF59EF">
      <w:pPr>
        <w:spacing w:line="260" w:lineRule="atLeast"/>
        <w:ind w:left="360"/>
        <w:contextualSpacing/>
        <w:rPr>
          <w:rFonts w:ascii="Times New Roman" w:eastAsia="Calibri" w:hAnsi="Times New Roman"/>
          <w:i/>
          <w:iCs/>
          <w:lang w:eastAsia="en-US"/>
        </w:rPr>
      </w:pPr>
    </w:p>
    <w:p w14:paraId="004DEC08" w14:textId="77777777" w:rsidR="00CF59EF" w:rsidRDefault="000B5D37" w:rsidP="00172945">
      <w:pPr>
        <w:pStyle w:val="Heading2"/>
        <w:numPr>
          <w:ilvl w:val="2"/>
          <w:numId w:val="2"/>
        </w:numPr>
        <w:ind w:left="720"/>
      </w:pPr>
      <w:bookmarkStart w:id="1542" w:name="_Toc403566579"/>
      <w:bookmarkStart w:id="1543" w:name="_Toc403472782"/>
      <w:bookmarkStart w:id="1544" w:name="_Toc389729097"/>
      <w:bookmarkStart w:id="1545" w:name="_Toc531868673"/>
      <w:bookmarkEnd w:id="1542"/>
      <w:bookmarkEnd w:id="1543"/>
      <w:bookmarkEnd w:id="1544"/>
      <w:r>
        <w:t>Risk assessment for the environment</w:t>
      </w:r>
      <w:bookmarkEnd w:id="1545"/>
    </w:p>
    <w:p w14:paraId="48649964" w14:textId="77777777" w:rsidR="00CF59EF" w:rsidRDefault="000B5D37">
      <w:pPr>
        <w:pStyle w:val="Absatz"/>
        <w:ind w:left="0"/>
        <w:rPr>
          <w:rFonts w:ascii="Verdana" w:hAnsi="Verdana"/>
          <w:lang w:val="en-US"/>
        </w:rPr>
      </w:pPr>
      <w:r>
        <w:rPr>
          <w:rFonts w:ascii="Verdana" w:hAnsi="Verdana"/>
          <w:lang w:val="en-US"/>
        </w:rPr>
        <w:t xml:space="preserve">The biocidal product </w:t>
      </w:r>
      <w:proofErr w:type="spellStart"/>
      <w:r>
        <w:rPr>
          <w:rFonts w:ascii="Verdana" w:hAnsi="Verdana"/>
          <w:lang w:val="en-US"/>
        </w:rPr>
        <w:t>Kalaguard</w:t>
      </w:r>
      <w:proofErr w:type="spellEnd"/>
      <w:r>
        <w:rPr>
          <w:rFonts w:ascii="Verdana" w:hAnsi="Verdana"/>
          <w:lang w:val="en-US"/>
        </w:rPr>
        <w:t xml:space="preserve">® SB is a 100% (w/w) formulation of sodium benzoate (&gt;99.99 (w/w) pure), thus the studies conducted with sodium benzoate are applicable for the biocidal product and vice versa. Respectively, the terms “biocidal product” and </w:t>
      </w:r>
      <w:r w:rsidR="002002AB">
        <w:rPr>
          <w:rFonts w:ascii="Verdana" w:hAnsi="Verdana"/>
          <w:lang w:val="en-US"/>
        </w:rPr>
        <w:t xml:space="preserve"> </w:t>
      </w:r>
      <w:r>
        <w:rPr>
          <w:rFonts w:ascii="Verdana" w:hAnsi="Verdana"/>
          <w:lang w:val="en-US"/>
        </w:rPr>
        <w:t xml:space="preserve">“sodium benzoate” are used interchangeably. </w:t>
      </w:r>
    </w:p>
    <w:p w14:paraId="565D6ACB" w14:textId="77777777" w:rsidR="00CF59EF" w:rsidRDefault="00CF59EF">
      <w:pPr>
        <w:pStyle w:val="Absatz"/>
        <w:rPr>
          <w:rFonts w:ascii="Verdana" w:hAnsi="Verdana"/>
          <w:lang w:val="en-US"/>
        </w:rPr>
      </w:pPr>
    </w:p>
    <w:p w14:paraId="58D6D153" w14:textId="77777777" w:rsidR="00CF59EF" w:rsidRDefault="000B5D37">
      <w:pPr>
        <w:pStyle w:val="Absatz"/>
        <w:ind w:left="0"/>
        <w:rPr>
          <w:rFonts w:ascii="Verdana" w:hAnsi="Verdana"/>
          <w:lang w:val="en-US"/>
        </w:rPr>
      </w:pPr>
      <w:r>
        <w:rPr>
          <w:rFonts w:ascii="Verdana" w:hAnsi="Verdana"/>
          <w:lang w:val="en-US"/>
        </w:rPr>
        <w:t>As sodium benzoate is an Annex I substance, for which no dossier has been submitted at the EU level, the active substance dataset in accordance with Annex II requirements of the BPR has been submitted as a part of the IUCLID dossier within the current application.</w:t>
      </w:r>
    </w:p>
    <w:p w14:paraId="4429465A" w14:textId="77777777" w:rsidR="00CF59EF" w:rsidRDefault="000B5D37" w:rsidP="00F3219E">
      <w:pPr>
        <w:pStyle w:val="Heading3"/>
      </w:pPr>
      <w:bookmarkStart w:id="1546" w:name="_Toc525305253"/>
      <w:bookmarkStart w:id="1547" w:name="_Toc531868674"/>
      <w:bookmarkEnd w:id="1546"/>
      <w:proofErr w:type="spellStart"/>
      <w:r>
        <w:t>Effects</w:t>
      </w:r>
      <w:proofErr w:type="spellEnd"/>
      <w:r>
        <w:t xml:space="preserve"> </w:t>
      </w:r>
      <w:proofErr w:type="spellStart"/>
      <w:r>
        <w:t>assessment</w:t>
      </w:r>
      <w:proofErr w:type="spellEnd"/>
      <w:r>
        <w:t xml:space="preserve"> on </w:t>
      </w:r>
      <w:proofErr w:type="spellStart"/>
      <w:r>
        <w:t>the</w:t>
      </w:r>
      <w:proofErr w:type="spellEnd"/>
      <w:r>
        <w:t xml:space="preserve"> </w:t>
      </w:r>
      <w:proofErr w:type="spellStart"/>
      <w:r>
        <w:t>environment</w:t>
      </w:r>
      <w:bookmarkEnd w:id="1547"/>
      <w:proofErr w:type="spellEnd"/>
    </w:p>
    <w:p w14:paraId="7E7CC56E" w14:textId="77777777" w:rsidR="00CF59EF" w:rsidRDefault="000B5D37">
      <w:pPr>
        <w:rPr>
          <w:rFonts w:eastAsia="Calibri"/>
          <w:lang w:eastAsia="en-US"/>
        </w:rPr>
      </w:pPr>
      <w:bookmarkStart w:id="1548" w:name="_Toc403472784"/>
      <w:bookmarkStart w:id="1549" w:name="_Toc389729099"/>
      <w:bookmarkEnd w:id="1548"/>
      <w:bookmarkEnd w:id="1549"/>
      <w:r>
        <w:rPr>
          <w:rFonts w:eastAsia="Calibri"/>
          <w:lang w:eastAsia="en-US"/>
        </w:rPr>
        <w:t xml:space="preserve">The following data were </w:t>
      </w:r>
      <w:r w:rsidR="009E1039">
        <w:rPr>
          <w:rFonts w:eastAsia="Calibri"/>
          <w:lang w:eastAsia="en-US"/>
        </w:rPr>
        <w:t>provided</w:t>
      </w:r>
      <w:r>
        <w:rPr>
          <w:rFonts w:eastAsia="Calibri"/>
          <w:lang w:eastAsia="en-US"/>
        </w:rPr>
        <w:t xml:space="preserve"> for the active substance sodium benzoate. As the product is identical to the active substance, the data can be considered product data.</w:t>
      </w:r>
    </w:p>
    <w:p w14:paraId="13AF0BE4" w14:textId="77777777" w:rsidR="00B84DCA" w:rsidRDefault="00B84DCA">
      <w:pPr>
        <w:rPr>
          <w:rFonts w:eastAsia="Calibri"/>
          <w:lang w:eastAsia="en-US"/>
        </w:rPr>
      </w:pPr>
    </w:p>
    <w:p w14:paraId="3D67F847" w14:textId="77777777" w:rsidR="00B84DCA" w:rsidRDefault="00B84DCA" w:rsidP="00B84DCA">
      <w:pPr>
        <w:rPr>
          <w:lang w:val="en-US"/>
        </w:rPr>
      </w:pPr>
    </w:p>
    <w:tbl>
      <w:tblPr>
        <w:tblpPr w:leftFromText="180" w:rightFromText="180" w:vertAnchor="text" w:horzAnchor="margin" w:tblpY="83"/>
        <w:tblW w:w="94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3"/>
        <w:gridCol w:w="1235"/>
        <w:gridCol w:w="11"/>
        <w:gridCol w:w="24"/>
        <w:gridCol w:w="815"/>
        <w:gridCol w:w="16"/>
        <w:gridCol w:w="20"/>
        <w:gridCol w:w="956"/>
        <w:gridCol w:w="20"/>
        <w:gridCol w:w="16"/>
        <w:gridCol w:w="814"/>
        <w:gridCol w:w="24"/>
        <w:gridCol w:w="12"/>
        <w:gridCol w:w="571"/>
        <w:gridCol w:w="426"/>
        <w:gridCol w:w="77"/>
        <w:gridCol w:w="759"/>
        <w:gridCol w:w="14"/>
        <w:gridCol w:w="1279"/>
        <w:gridCol w:w="1128"/>
      </w:tblGrid>
      <w:tr w:rsidR="00B84DCA" w14:paraId="70FACDC1" w14:textId="77777777" w:rsidTr="00B84DCA">
        <w:tc>
          <w:tcPr>
            <w:tcW w:w="9420" w:type="dxa"/>
            <w:gridSpan w:val="20"/>
            <w:tcBorders>
              <w:top w:val="single" w:sz="4" w:space="0" w:color="auto"/>
              <w:left w:val="single" w:sz="4" w:space="0" w:color="auto"/>
              <w:bottom w:val="single" w:sz="6" w:space="0" w:color="auto"/>
              <w:right w:val="single" w:sz="4" w:space="0" w:color="auto"/>
            </w:tcBorders>
            <w:shd w:val="clear" w:color="auto" w:fill="FFFFCC"/>
            <w:hideMark/>
          </w:tcPr>
          <w:p w14:paraId="58AC9C73" w14:textId="77777777" w:rsidR="00B84DCA" w:rsidRPr="00A258EC" w:rsidRDefault="00B84DCA" w:rsidP="00B84DCA">
            <w:pPr>
              <w:spacing w:line="260" w:lineRule="atLeast"/>
              <w:jc w:val="center"/>
              <w:rPr>
                <w:b/>
                <w:color w:val="000000"/>
              </w:rPr>
            </w:pPr>
            <w:r w:rsidRPr="00A258EC">
              <w:rPr>
                <w:b/>
                <w:bCs/>
              </w:rPr>
              <w:t>Summary table of further ecotoxicological studies</w:t>
            </w:r>
          </w:p>
        </w:tc>
      </w:tr>
      <w:tr w:rsidR="00B84DCA" w14:paraId="33B299A8" w14:textId="77777777" w:rsidTr="00AA2BF4">
        <w:trPr>
          <w:cantSplit/>
          <w:trHeight w:val="417"/>
        </w:trPr>
        <w:tc>
          <w:tcPr>
            <w:tcW w:w="1203" w:type="dxa"/>
            <w:vMerge w:val="restart"/>
            <w:tcBorders>
              <w:top w:val="single" w:sz="6" w:space="0" w:color="auto"/>
              <w:left w:val="single" w:sz="4" w:space="0" w:color="auto"/>
              <w:bottom w:val="single" w:sz="4" w:space="0" w:color="auto"/>
              <w:right w:val="single" w:sz="6" w:space="0" w:color="auto"/>
            </w:tcBorders>
            <w:shd w:val="clear" w:color="auto" w:fill="FFFFFF"/>
            <w:hideMark/>
          </w:tcPr>
          <w:p w14:paraId="60B4471E" w14:textId="77777777" w:rsidR="00B84DCA" w:rsidRPr="00A258EC" w:rsidRDefault="00B84DCA" w:rsidP="00B84DCA">
            <w:pPr>
              <w:keepNext/>
              <w:widowControl w:val="0"/>
              <w:autoSpaceDE w:val="0"/>
              <w:autoSpaceDN w:val="0"/>
              <w:adjustRightInd w:val="0"/>
              <w:rPr>
                <w:bCs/>
                <w:sz w:val="16"/>
                <w:szCs w:val="16"/>
              </w:rPr>
            </w:pPr>
            <w:r w:rsidRPr="00A258EC">
              <w:rPr>
                <w:b/>
                <w:bCs/>
                <w:color w:val="000000"/>
                <w:sz w:val="16"/>
                <w:szCs w:val="16"/>
                <w:lang w:eastAsia="en-GB"/>
              </w:rPr>
              <w:t>Method, Guideline,  GLP status, Reliability</w:t>
            </w:r>
          </w:p>
        </w:tc>
        <w:tc>
          <w:tcPr>
            <w:tcW w:w="1235"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7F193A36" w14:textId="77777777" w:rsidR="00B84DCA" w:rsidRPr="00A258EC" w:rsidRDefault="00B84DCA" w:rsidP="00B84DCA">
            <w:pPr>
              <w:keepNext/>
              <w:widowControl w:val="0"/>
              <w:autoSpaceDE w:val="0"/>
              <w:autoSpaceDN w:val="0"/>
              <w:adjustRightInd w:val="0"/>
              <w:rPr>
                <w:bCs/>
                <w:sz w:val="16"/>
                <w:szCs w:val="16"/>
              </w:rPr>
            </w:pPr>
            <w:r w:rsidRPr="00A258EC">
              <w:rPr>
                <w:bCs/>
                <w:sz w:val="16"/>
                <w:szCs w:val="16"/>
              </w:rPr>
              <w:t>Species/</w:t>
            </w:r>
          </w:p>
          <w:p w14:paraId="05DB348A" w14:textId="77777777" w:rsidR="00B84DCA" w:rsidRPr="00A258EC" w:rsidRDefault="00B84DCA" w:rsidP="00B84DCA">
            <w:pPr>
              <w:keepNext/>
              <w:widowControl w:val="0"/>
              <w:autoSpaceDE w:val="0"/>
              <w:autoSpaceDN w:val="0"/>
              <w:adjustRightInd w:val="0"/>
              <w:rPr>
                <w:bCs/>
                <w:sz w:val="16"/>
                <w:szCs w:val="16"/>
              </w:rPr>
            </w:pPr>
            <w:r w:rsidRPr="00A258EC">
              <w:rPr>
                <w:bCs/>
                <w:sz w:val="16"/>
                <w:szCs w:val="16"/>
              </w:rPr>
              <w:t>Inoculum</w:t>
            </w:r>
          </w:p>
        </w:tc>
        <w:tc>
          <w:tcPr>
            <w:tcW w:w="850" w:type="dxa"/>
            <w:gridSpan w:val="3"/>
            <w:vMerge w:val="restart"/>
            <w:tcBorders>
              <w:top w:val="single" w:sz="6" w:space="0" w:color="auto"/>
              <w:left w:val="single" w:sz="6" w:space="0" w:color="auto"/>
              <w:bottom w:val="single" w:sz="4" w:space="0" w:color="auto"/>
              <w:right w:val="single" w:sz="6" w:space="0" w:color="auto"/>
            </w:tcBorders>
            <w:shd w:val="clear" w:color="auto" w:fill="FFFFFF"/>
            <w:hideMark/>
          </w:tcPr>
          <w:p w14:paraId="457B3C9E" w14:textId="77777777" w:rsidR="00B84DCA" w:rsidRPr="00A258EC" w:rsidRDefault="00B84DCA" w:rsidP="00B84DCA">
            <w:pPr>
              <w:keepNext/>
              <w:widowControl w:val="0"/>
              <w:autoSpaceDE w:val="0"/>
              <w:autoSpaceDN w:val="0"/>
              <w:adjustRightInd w:val="0"/>
              <w:rPr>
                <w:bCs/>
                <w:sz w:val="16"/>
                <w:szCs w:val="16"/>
              </w:rPr>
            </w:pPr>
            <w:r w:rsidRPr="00A258EC">
              <w:rPr>
                <w:bCs/>
                <w:sz w:val="16"/>
                <w:szCs w:val="16"/>
              </w:rPr>
              <w:t>Endpoint</w:t>
            </w:r>
          </w:p>
        </w:tc>
        <w:tc>
          <w:tcPr>
            <w:tcW w:w="1842" w:type="dxa"/>
            <w:gridSpan w:val="6"/>
            <w:tcBorders>
              <w:top w:val="single" w:sz="4" w:space="0" w:color="auto"/>
              <w:left w:val="single" w:sz="6" w:space="0" w:color="auto"/>
              <w:bottom w:val="nil"/>
              <w:right w:val="single" w:sz="6" w:space="0" w:color="auto"/>
            </w:tcBorders>
            <w:shd w:val="clear" w:color="auto" w:fill="FFFFFF"/>
            <w:hideMark/>
          </w:tcPr>
          <w:p w14:paraId="23D152DD" w14:textId="77777777" w:rsidR="00B84DCA" w:rsidRPr="00A258EC" w:rsidRDefault="00B84DCA" w:rsidP="00B84DCA">
            <w:pPr>
              <w:keepNext/>
              <w:widowControl w:val="0"/>
              <w:autoSpaceDE w:val="0"/>
              <w:autoSpaceDN w:val="0"/>
              <w:adjustRightInd w:val="0"/>
              <w:jc w:val="center"/>
              <w:rPr>
                <w:bCs/>
                <w:sz w:val="16"/>
                <w:szCs w:val="16"/>
              </w:rPr>
            </w:pPr>
            <w:r w:rsidRPr="00A258EC">
              <w:rPr>
                <w:bCs/>
                <w:sz w:val="16"/>
                <w:szCs w:val="16"/>
              </w:rPr>
              <w:t>Exposure</w:t>
            </w:r>
          </w:p>
        </w:tc>
        <w:tc>
          <w:tcPr>
            <w:tcW w:w="1883" w:type="dxa"/>
            <w:gridSpan w:val="7"/>
            <w:tcBorders>
              <w:top w:val="single" w:sz="4" w:space="0" w:color="auto"/>
              <w:left w:val="single" w:sz="6" w:space="0" w:color="auto"/>
              <w:bottom w:val="nil"/>
              <w:right w:val="single" w:sz="6" w:space="0" w:color="auto"/>
            </w:tcBorders>
            <w:shd w:val="clear" w:color="auto" w:fill="FFFFFF"/>
            <w:hideMark/>
          </w:tcPr>
          <w:p w14:paraId="3064BD7B" w14:textId="77777777" w:rsidR="00B84DCA" w:rsidRPr="00A258EC" w:rsidRDefault="00B84DCA" w:rsidP="00B84DCA">
            <w:pPr>
              <w:keepNext/>
              <w:widowControl w:val="0"/>
              <w:autoSpaceDE w:val="0"/>
              <w:autoSpaceDN w:val="0"/>
              <w:adjustRightInd w:val="0"/>
              <w:jc w:val="center"/>
              <w:rPr>
                <w:bCs/>
                <w:sz w:val="16"/>
                <w:szCs w:val="16"/>
              </w:rPr>
            </w:pPr>
            <w:r w:rsidRPr="00A258EC">
              <w:rPr>
                <w:bCs/>
                <w:sz w:val="16"/>
                <w:szCs w:val="16"/>
              </w:rPr>
              <w:t>Results</w:t>
            </w:r>
          </w:p>
        </w:tc>
        <w:tc>
          <w:tcPr>
            <w:tcW w:w="1279"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23C5DF51" w14:textId="77777777" w:rsidR="00B84DCA" w:rsidRPr="00A258EC" w:rsidRDefault="00B84DCA" w:rsidP="00B84DCA">
            <w:pPr>
              <w:keepNext/>
              <w:widowControl w:val="0"/>
              <w:autoSpaceDE w:val="0"/>
              <w:autoSpaceDN w:val="0"/>
              <w:adjustRightInd w:val="0"/>
              <w:rPr>
                <w:bCs/>
                <w:sz w:val="16"/>
                <w:szCs w:val="16"/>
              </w:rPr>
            </w:pPr>
            <w:r w:rsidRPr="00A258EC">
              <w:rPr>
                <w:bCs/>
                <w:sz w:val="16"/>
                <w:szCs w:val="16"/>
              </w:rPr>
              <w:t>Remarks</w:t>
            </w:r>
          </w:p>
        </w:tc>
        <w:tc>
          <w:tcPr>
            <w:tcW w:w="1128" w:type="dxa"/>
            <w:vMerge w:val="restart"/>
            <w:tcBorders>
              <w:top w:val="single" w:sz="6" w:space="0" w:color="auto"/>
              <w:left w:val="single" w:sz="6" w:space="0" w:color="auto"/>
              <w:bottom w:val="single" w:sz="4" w:space="0" w:color="auto"/>
              <w:right w:val="single" w:sz="4" w:space="0" w:color="auto"/>
            </w:tcBorders>
            <w:shd w:val="clear" w:color="auto" w:fill="FFFFFF"/>
            <w:hideMark/>
          </w:tcPr>
          <w:p w14:paraId="7914F2C6" w14:textId="77777777" w:rsidR="00B84DCA" w:rsidRPr="00A258EC" w:rsidRDefault="00B84DCA" w:rsidP="00B84DCA">
            <w:pPr>
              <w:keepNext/>
              <w:widowControl w:val="0"/>
              <w:autoSpaceDE w:val="0"/>
              <w:autoSpaceDN w:val="0"/>
              <w:adjustRightInd w:val="0"/>
              <w:rPr>
                <w:bCs/>
                <w:sz w:val="16"/>
                <w:szCs w:val="16"/>
              </w:rPr>
            </w:pPr>
            <w:r w:rsidRPr="00A258EC">
              <w:rPr>
                <w:bCs/>
                <w:sz w:val="16"/>
                <w:szCs w:val="16"/>
              </w:rPr>
              <w:t>Reference</w:t>
            </w:r>
          </w:p>
        </w:tc>
      </w:tr>
      <w:tr w:rsidR="00B84DCA" w14:paraId="1174D8DC" w14:textId="77777777" w:rsidTr="00AA2BF4">
        <w:tc>
          <w:tcPr>
            <w:tcW w:w="1203" w:type="dxa"/>
            <w:vMerge/>
            <w:tcBorders>
              <w:top w:val="single" w:sz="6" w:space="0" w:color="auto"/>
              <w:left w:val="single" w:sz="4" w:space="0" w:color="auto"/>
              <w:bottom w:val="single" w:sz="4" w:space="0" w:color="auto"/>
              <w:right w:val="single" w:sz="6" w:space="0" w:color="auto"/>
            </w:tcBorders>
            <w:vAlign w:val="center"/>
            <w:hideMark/>
          </w:tcPr>
          <w:p w14:paraId="65BD8218" w14:textId="77777777" w:rsidR="00B84DCA" w:rsidRPr="00A258EC" w:rsidRDefault="00B84DCA" w:rsidP="00B84DCA">
            <w:pPr>
              <w:rPr>
                <w:bCs/>
                <w:sz w:val="16"/>
                <w:szCs w:val="16"/>
              </w:rPr>
            </w:pPr>
          </w:p>
        </w:tc>
        <w:tc>
          <w:tcPr>
            <w:tcW w:w="1235" w:type="dxa"/>
            <w:vMerge/>
            <w:tcBorders>
              <w:top w:val="single" w:sz="6" w:space="0" w:color="auto"/>
              <w:left w:val="single" w:sz="6" w:space="0" w:color="auto"/>
              <w:bottom w:val="single" w:sz="4" w:space="0" w:color="auto"/>
              <w:right w:val="single" w:sz="6" w:space="0" w:color="auto"/>
            </w:tcBorders>
            <w:vAlign w:val="center"/>
            <w:hideMark/>
          </w:tcPr>
          <w:p w14:paraId="3234B82C" w14:textId="77777777" w:rsidR="00B84DCA" w:rsidRPr="00A258EC" w:rsidRDefault="00B84DCA" w:rsidP="00B84DCA">
            <w:pPr>
              <w:rPr>
                <w:bCs/>
                <w:sz w:val="16"/>
                <w:szCs w:val="16"/>
              </w:rPr>
            </w:pPr>
          </w:p>
        </w:tc>
        <w:tc>
          <w:tcPr>
            <w:tcW w:w="850" w:type="dxa"/>
            <w:gridSpan w:val="3"/>
            <w:vMerge/>
            <w:tcBorders>
              <w:top w:val="single" w:sz="6" w:space="0" w:color="auto"/>
              <w:left w:val="single" w:sz="6" w:space="0" w:color="auto"/>
              <w:bottom w:val="single" w:sz="4" w:space="0" w:color="auto"/>
              <w:right w:val="single" w:sz="6" w:space="0" w:color="auto"/>
            </w:tcBorders>
            <w:vAlign w:val="center"/>
            <w:hideMark/>
          </w:tcPr>
          <w:p w14:paraId="2B8A4794" w14:textId="77777777" w:rsidR="00B84DCA" w:rsidRPr="00A258EC" w:rsidRDefault="00B84DCA" w:rsidP="00B84DCA">
            <w:pPr>
              <w:rPr>
                <w:bCs/>
                <w:sz w:val="16"/>
                <w:szCs w:val="16"/>
              </w:rPr>
            </w:pPr>
          </w:p>
        </w:tc>
        <w:tc>
          <w:tcPr>
            <w:tcW w:w="992" w:type="dxa"/>
            <w:gridSpan w:val="3"/>
            <w:tcBorders>
              <w:top w:val="nil"/>
              <w:left w:val="single" w:sz="6" w:space="0" w:color="auto"/>
              <w:bottom w:val="single" w:sz="4" w:space="0" w:color="auto"/>
              <w:right w:val="single" w:sz="6" w:space="0" w:color="auto"/>
            </w:tcBorders>
            <w:shd w:val="clear" w:color="auto" w:fill="FFFFFF"/>
            <w:hideMark/>
          </w:tcPr>
          <w:p w14:paraId="72E8B934" w14:textId="77777777" w:rsidR="00B84DCA" w:rsidRPr="00A258EC" w:rsidRDefault="00B84DCA" w:rsidP="00B84DCA">
            <w:pPr>
              <w:keepNext/>
              <w:widowControl w:val="0"/>
              <w:autoSpaceDE w:val="0"/>
              <w:autoSpaceDN w:val="0"/>
              <w:adjustRightInd w:val="0"/>
              <w:spacing w:line="260" w:lineRule="atLeast"/>
              <w:rPr>
                <w:bCs/>
                <w:sz w:val="16"/>
                <w:szCs w:val="16"/>
              </w:rPr>
            </w:pPr>
            <w:r w:rsidRPr="00A258EC">
              <w:rPr>
                <w:bCs/>
                <w:sz w:val="16"/>
                <w:szCs w:val="16"/>
              </w:rPr>
              <w:t>Design</w:t>
            </w:r>
          </w:p>
        </w:tc>
        <w:tc>
          <w:tcPr>
            <w:tcW w:w="850" w:type="dxa"/>
            <w:gridSpan w:val="3"/>
            <w:tcBorders>
              <w:top w:val="nil"/>
              <w:left w:val="single" w:sz="6" w:space="0" w:color="auto"/>
              <w:bottom w:val="single" w:sz="4" w:space="0" w:color="auto"/>
              <w:right w:val="single" w:sz="6" w:space="0" w:color="auto"/>
            </w:tcBorders>
            <w:shd w:val="clear" w:color="auto" w:fill="FFFFFF"/>
            <w:hideMark/>
          </w:tcPr>
          <w:p w14:paraId="6515E1D2" w14:textId="77777777" w:rsidR="00B84DCA" w:rsidRPr="00A258EC" w:rsidRDefault="00B84DCA" w:rsidP="00B84DCA">
            <w:pPr>
              <w:keepNext/>
              <w:widowControl w:val="0"/>
              <w:autoSpaceDE w:val="0"/>
              <w:autoSpaceDN w:val="0"/>
              <w:adjustRightInd w:val="0"/>
              <w:spacing w:line="260" w:lineRule="atLeast"/>
              <w:rPr>
                <w:bCs/>
                <w:sz w:val="16"/>
                <w:szCs w:val="16"/>
              </w:rPr>
            </w:pPr>
            <w:r>
              <w:rPr>
                <w:bCs/>
                <w:sz w:val="16"/>
                <w:szCs w:val="16"/>
              </w:rPr>
              <w:t>Dura</w:t>
            </w:r>
            <w:r w:rsidRPr="00A258EC">
              <w:rPr>
                <w:bCs/>
                <w:sz w:val="16"/>
                <w:szCs w:val="16"/>
              </w:rPr>
              <w:t>tion</w:t>
            </w:r>
          </w:p>
        </w:tc>
        <w:tc>
          <w:tcPr>
            <w:tcW w:w="607" w:type="dxa"/>
            <w:gridSpan w:val="3"/>
            <w:tcBorders>
              <w:top w:val="nil"/>
              <w:left w:val="single" w:sz="6" w:space="0" w:color="auto"/>
              <w:bottom w:val="single" w:sz="4" w:space="0" w:color="auto"/>
              <w:right w:val="single" w:sz="6" w:space="0" w:color="auto"/>
            </w:tcBorders>
            <w:shd w:val="clear" w:color="auto" w:fill="FFFFFF"/>
            <w:hideMark/>
          </w:tcPr>
          <w:p w14:paraId="13851EB7" w14:textId="77777777" w:rsidR="00B84DCA" w:rsidRPr="00A258EC" w:rsidRDefault="00B84DCA" w:rsidP="00B84DCA">
            <w:pPr>
              <w:keepNext/>
              <w:widowControl w:val="0"/>
              <w:autoSpaceDE w:val="0"/>
              <w:autoSpaceDN w:val="0"/>
              <w:adjustRightInd w:val="0"/>
              <w:spacing w:line="260" w:lineRule="atLeast"/>
              <w:rPr>
                <w:bCs/>
                <w:sz w:val="16"/>
                <w:szCs w:val="16"/>
              </w:rPr>
            </w:pPr>
            <w:r w:rsidRPr="00A258EC">
              <w:rPr>
                <w:bCs/>
                <w:sz w:val="16"/>
                <w:szCs w:val="16"/>
              </w:rPr>
              <w:t>NOEC</w:t>
            </w:r>
          </w:p>
        </w:tc>
        <w:tc>
          <w:tcPr>
            <w:tcW w:w="503" w:type="dxa"/>
            <w:gridSpan w:val="2"/>
            <w:tcBorders>
              <w:top w:val="nil"/>
              <w:left w:val="single" w:sz="6" w:space="0" w:color="auto"/>
              <w:bottom w:val="single" w:sz="4" w:space="0" w:color="auto"/>
              <w:right w:val="single" w:sz="6" w:space="0" w:color="auto"/>
            </w:tcBorders>
            <w:shd w:val="clear" w:color="auto" w:fill="FFFFFF"/>
            <w:hideMark/>
          </w:tcPr>
          <w:p w14:paraId="74F81BC2" w14:textId="77777777" w:rsidR="00B84DCA" w:rsidRPr="00A258EC" w:rsidRDefault="00B84DCA" w:rsidP="00B84DCA">
            <w:pPr>
              <w:spacing w:line="260" w:lineRule="atLeast"/>
              <w:rPr>
                <w:sz w:val="16"/>
                <w:szCs w:val="16"/>
              </w:rPr>
            </w:pPr>
            <w:r w:rsidRPr="00A258EC">
              <w:rPr>
                <w:bCs/>
                <w:sz w:val="16"/>
                <w:szCs w:val="16"/>
              </w:rPr>
              <w:t>EC</w:t>
            </w:r>
            <w:r>
              <w:rPr>
                <w:bCs/>
                <w:sz w:val="16"/>
                <w:szCs w:val="16"/>
                <w:vertAlign w:val="subscript"/>
              </w:rPr>
              <w:t>1</w:t>
            </w:r>
            <w:r w:rsidRPr="00A258EC">
              <w:rPr>
                <w:bCs/>
                <w:sz w:val="16"/>
                <w:szCs w:val="16"/>
                <w:vertAlign w:val="subscript"/>
              </w:rPr>
              <w:t>0</w:t>
            </w:r>
          </w:p>
        </w:tc>
        <w:tc>
          <w:tcPr>
            <w:tcW w:w="773" w:type="dxa"/>
            <w:gridSpan w:val="2"/>
            <w:tcBorders>
              <w:top w:val="nil"/>
              <w:left w:val="single" w:sz="6" w:space="0" w:color="auto"/>
              <w:bottom w:val="single" w:sz="4" w:space="0" w:color="auto"/>
              <w:right w:val="single" w:sz="6" w:space="0" w:color="auto"/>
            </w:tcBorders>
            <w:shd w:val="clear" w:color="auto" w:fill="FFFFFF"/>
            <w:hideMark/>
          </w:tcPr>
          <w:p w14:paraId="6D4DD40A" w14:textId="77777777" w:rsidR="00B84DCA" w:rsidRPr="00A258EC" w:rsidRDefault="00B84DCA" w:rsidP="00B84DCA">
            <w:pPr>
              <w:spacing w:line="260" w:lineRule="atLeast"/>
              <w:rPr>
                <w:sz w:val="16"/>
                <w:szCs w:val="16"/>
              </w:rPr>
            </w:pPr>
            <w:r w:rsidRPr="00A258EC">
              <w:rPr>
                <w:bCs/>
                <w:sz w:val="16"/>
                <w:szCs w:val="16"/>
              </w:rPr>
              <w:t>EC</w:t>
            </w:r>
            <w:r>
              <w:rPr>
                <w:bCs/>
                <w:sz w:val="16"/>
                <w:szCs w:val="16"/>
                <w:vertAlign w:val="subscript"/>
              </w:rPr>
              <w:t>5</w:t>
            </w:r>
            <w:r w:rsidRPr="00A258EC">
              <w:rPr>
                <w:bCs/>
                <w:sz w:val="16"/>
                <w:szCs w:val="16"/>
                <w:vertAlign w:val="subscript"/>
              </w:rPr>
              <w:t>0</w:t>
            </w:r>
          </w:p>
        </w:tc>
        <w:tc>
          <w:tcPr>
            <w:tcW w:w="1279" w:type="dxa"/>
            <w:vMerge/>
            <w:tcBorders>
              <w:top w:val="single" w:sz="6" w:space="0" w:color="auto"/>
              <w:left w:val="single" w:sz="6" w:space="0" w:color="auto"/>
              <w:bottom w:val="single" w:sz="4" w:space="0" w:color="auto"/>
              <w:right w:val="single" w:sz="6" w:space="0" w:color="auto"/>
            </w:tcBorders>
            <w:vAlign w:val="center"/>
            <w:hideMark/>
          </w:tcPr>
          <w:p w14:paraId="5DCC797E" w14:textId="77777777" w:rsidR="00B84DCA" w:rsidRPr="00A258EC" w:rsidRDefault="00B84DCA" w:rsidP="00B84DCA">
            <w:pPr>
              <w:rPr>
                <w:bCs/>
                <w:sz w:val="16"/>
                <w:szCs w:val="16"/>
              </w:rPr>
            </w:pPr>
          </w:p>
        </w:tc>
        <w:tc>
          <w:tcPr>
            <w:tcW w:w="1128" w:type="dxa"/>
            <w:vMerge/>
            <w:tcBorders>
              <w:top w:val="single" w:sz="6" w:space="0" w:color="auto"/>
              <w:left w:val="single" w:sz="6" w:space="0" w:color="auto"/>
              <w:bottom w:val="single" w:sz="4" w:space="0" w:color="auto"/>
              <w:right w:val="single" w:sz="4" w:space="0" w:color="auto"/>
            </w:tcBorders>
            <w:vAlign w:val="center"/>
            <w:hideMark/>
          </w:tcPr>
          <w:p w14:paraId="085DCC57" w14:textId="77777777" w:rsidR="00B84DCA" w:rsidRPr="00A258EC" w:rsidRDefault="00B84DCA" w:rsidP="00B84DCA">
            <w:pPr>
              <w:rPr>
                <w:bCs/>
                <w:sz w:val="16"/>
                <w:szCs w:val="16"/>
              </w:rPr>
            </w:pPr>
          </w:p>
        </w:tc>
      </w:tr>
      <w:tr w:rsidR="00B84DCA" w14:paraId="63AF41B0" w14:textId="77777777" w:rsidTr="00B84DCA">
        <w:tc>
          <w:tcPr>
            <w:tcW w:w="9420" w:type="dxa"/>
            <w:gridSpan w:val="20"/>
            <w:tcBorders>
              <w:top w:val="single" w:sz="4" w:space="0" w:color="auto"/>
              <w:left w:val="single" w:sz="4" w:space="0" w:color="auto"/>
              <w:bottom w:val="single" w:sz="4" w:space="0" w:color="auto"/>
              <w:right w:val="single" w:sz="4" w:space="0" w:color="auto"/>
            </w:tcBorders>
          </w:tcPr>
          <w:p w14:paraId="4AB02CB0" w14:textId="77777777" w:rsidR="00B84DCA" w:rsidRPr="00A258EC" w:rsidRDefault="00B84DCA" w:rsidP="00B84DCA">
            <w:pPr>
              <w:spacing w:line="260" w:lineRule="atLeast"/>
              <w:rPr>
                <w:b/>
                <w:color w:val="000000"/>
                <w:sz w:val="16"/>
                <w:szCs w:val="16"/>
              </w:rPr>
            </w:pPr>
            <w:r w:rsidRPr="00A258EC">
              <w:rPr>
                <w:b/>
                <w:color w:val="000000"/>
                <w:sz w:val="16"/>
                <w:szCs w:val="16"/>
              </w:rPr>
              <w:t>Fish</w:t>
            </w:r>
          </w:p>
        </w:tc>
      </w:tr>
      <w:tr w:rsidR="00B84DCA" w:rsidRPr="002F4C58" w14:paraId="0AC04660" w14:textId="77777777" w:rsidTr="00AA2BF4">
        <w:tc>
          <w:tcPr>
            <w:tcW w:w="1203" w:type="dxa"/>
            <w:tcBorders>
              <w:top w:val="single" w:sz="4" w:space="0" w:color="auto"/>
              <w:left w:val="single" w:sz="4" w:space="0" w:color="auto"/>
              <w:bottom w:val="single" w:sz="4" w:space="0" w:color="auto"/>
              <w:right w:val="single" w:sz="4" w:space="0" w:color="auto"/>
            </w:tcBorders>
          </w:tcPr>
          <w:p w14:paraId="5577F067" w14:textId="77777777" w:rsidR="00B84DCA" w:rsidRPr="00A258EC" w:rsidRDefault="00B84DCA" w:rsidP="00B84DCA">
            <w:pPr>
              <w:rPr>
                <w:sz w:val="16"/>
                <w:szCs w:val="16"/>
              </w:rPr>
            </w:pPr>
            <w:r w:rsidRPr="00A258EC">
              <w:rPr>
                <w:sz w:val="16"/>
                <w:szCs w:val="16"/>
              </w:rPr>
              <w:t>EPA OPP 72-1; not GLP; reliability 2</w:t>
            </w:r>
          </w:p>
        </w:tc>
        <w:tc>
          <w:tcPr>
            <w:tcW w:w="1235" w:type="dxa"/>
            <w:tcBorders>
              <w:top w:val="single" w:sz="4" w:space="0" w:color="auto"/>
              <w:left w:val="single" w:sz="4" w:space="0" w:color="auto"/>
              <w:bottom w:val="single" w:sz="4" w:space="0" w:color="auto"/>
              <w:right w:val="single" w:sz="4" w:space="0" w:color="auto"/>
            </w:tcBorders>
          </w:tcPr>
          <w:p w14:paraId="754E75BC" w14:textId="77777777" w:rsidR="00B84DCA" w:rsidRPr="00A258EC" w:rsidRDefault="00B84DCA" w:rsidP="00B84DCA">
            <w:pPr>
              <w:rPr>
                <w:i/>
                <w:sz w:val="16"/>
                <w:szCs w:val="16"/>
              </w:rPr>
            </w:pPr>
            <w:proofErr w:type="spellStart"/>
            <w:r w:rsidRPr="00A258EC">
              <w:rPr>
                <w:i/>
                <w:sz w:val="16"/>
                <w:szCs w:val="16"/>
              </w:rPr>
              <w:t>Pimephales</w:t>
            </w:r>
            <w:proofErr w:type="spellEnd"/>
            <w:r w:rsidRPr="00A258EC">
              <w:rPr>
                <w:i/>
                <w:sz w:val="16"/>
                <w:szCs w:val="16"/>
              </w:rPr>
              <w:t xml:space="preserve"> </w:t>
            </w:r>
            <w:proofErr w:type="spellStart"/>
            <w:r w:rsidRPr="00A258EC">
              <w:rPr>
                <w:i/>
                <w:sz w:val="16"/>
                <w:szCs w:val="16"/>
              </w:rPr>
              <w:t>promelas</w:t>
            </w:r>
            <w:proofErr w:type="spellEnd"/>
          </w:p>
        </w:tc>
        <w:tc>
          <w:tcPr>
            <w:tcW w:w="850" w:type="dxa"/>
            <w:gridSpan w:val="3"/>
            <w:tcBorders>
              <w:top w:val="single" w:sz="4" w:space="0" w:color="auto"/>
              <w:left w:val="single" w:sz="4" w:space="0" w:color="auto"/>
              <w:bottom w:val="single" w:sz="4" w:space="0" w:color="auto"/>
              <w:right w:val="single" w:sz="4" w:space="0" w:color="auto"/>
            </w:tcBorders>
          </w:tcPr>
          <w:p w14:paraId="5E0790BA" w14:textId="77777777" w:rsidR="00B84DCA" w:rsidRPr="00A258EC" w:rsidRDefault="00B84DCA" w:rsidP="00B84DCA">
            <w:pPr>
              <w:rPr>
                <w:sz w:val="16"/>
                <w:szCs w:val="16"/>
              </w:rPr>
            </w:pPr>
            <w:r w:rsidRPr="00A258EC">
              <w:rPr>
                <w:sz w:val="16"/>
                <w:szCs w:val="16"/>
              </w:rPr>
              <w:t>Mortality</w:t>
            </w:r>
          </w:p>
        </w:tc>
        <w:tc>
          <w:tcPr>
            <w:tcW w:w="992" w:type="dxa"/>
            <w:gridSpan w:val="3"/>
            <w:tcBorders>
              <w:top w:val="single" w:sz="4" w:space="0" w:color="auto"/>
              <w:left w:val="single" w:sz="4" w:space="0" w:color="auto"/>
              <w:bottom w:val="single" w:sz="4" w:space="0" w:color="auto"/>
              <w:right w:val="single" w:sz="4" w:space="0" w:color="auto"/>
            </w:tcBorders>
          </w:tcPr>
          <w:p w14:paraId="63480AE8" w14:textId="77777777" w:rsidR="00B84DCA" w:rsidRPr="00A258EC" w:rsidRDefault="00B84DCA" w:rsidP="00B84DCA">
            <w:pPr>
              <w:rPr>
                <w:sz w:val="16"/>
                <w:szCs w:val="16"/>
              </w:rPr>
            </w:pPr>
            <w:r w:rsidRPr="00A258EC">
              <w:rPr>
                <w:sz w:val="16"/>
                <w:szCs w:val="16"/>
              </w:rPr>
              <w:t>Flow-through</w:t>
            </w:r>
          </w:p>
        </w:tc>
        <w:tc>
          <w:tcPr>
            <w:tcW w:w="850" w:type="dxa"/>
            <w:gridSpan w:val="3"/>
            <w:tcBorders>
              <w:top w:val="single" w:sz="4" w:space="0" w:color="auto"/>
              <w:left w:val="single" w:sz="4" w:space="0" w:color="auto"/>
              <w:bottom w:val="single" w:sz="4" w:space="0" w:color="auto"/>
              <w:right w:val="single" w:sz="4" w:space="0" w:color="auto"/>
            </w:tcBorders>
          </w:tcPr>
          <w:p w14:paraId="5DD7503A" w14:textId="77777777" w:rsidR="00B84DCA" w:rsidRPr="00A258EC" w:rsidRDefault="00B84DCA" w:rsidP="00B84DCA">
            <w:pPr>
              <w:rPr>
                <w:sz w:val="16"/>
                <w:szCs w:val="16"/>
              </w:rPr>
            </w:pPr>
            <w:r w:rsidRPr="00A258EC">
              <w:rPr>
                <w:sz w:val="16"/>
                <w:szCs w:val="16"/>
              </w:rPr>
              <w:t>96h</w:t>
            </w:r>
          </w:p>
        </w:tc>
        <w:tc>
          <w:tcPr>
            <w:tcW w:w="607" w:type="dxa"/>
            <w:gridSpan w:val="3"/>
            <w:tcBorders>
              <w:top w:val="single" w:sz="4" w:space="0" w:color="auto"/>
              <w:left w:val="single" w:sz="4" w:space="0" w:color="auto"/>
              <w:bottom w:val="single" w:sz="4" w:space="0" w:color="auto"/>
              <w:right w:val="single" w:sz="4" w:space="0" w:color="auto"/>
            </w:tcBorders>
          </w:tcPr>
          <w:p w14:paraId="282DBB21" w14:textId="77777777" w:rsidR="00B84DCA" w:rsidRPr="00A258EC" w:rsidRDefault="00B84DCA" w:rsidP="00B84DCA">
            <w:pPr>
              <w:rPr>
                <w:sz w:val="16"/>
                <w:szCs w:val="16"/>
              </w:rPr>
            </w:pPr>
            <w:r w:rsidRPr="00A258EC">
              <w:rPr>
                <w:sz w:val="16"/>
                <w:szCs w:val="16"/>
              </w:rPr>
              <w:t>-</w:t>
            </w:r>
          </w:p>
        </w:tc>
        <w:tc>
          <w:tcPr>
            <w:tcW w:w="503" w:type="dxa"/>
            <w:gridSpan w:val="2"/>
            <w:tcBorders>
              <w:top w:val="single" w:sz="4" w:space="0" w:color="auto"/>
              <w:left w:val="single" w:sz="4" w:space="0" w:color="auto"/>
              <w:bottom w:val="single" w:sz="4" w:space="0" w:color="auto"/>
              <w:right w:val="single" w:sz="4" w:space="0" w:color="auto"/>
            </w:tcBorders>
          </w:tcPr>
          <w:p w14:paraId="7D70B6B4" w14:textId="77777777"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14:paraId="681E0FCC" w14:textId="77777777" w:rsidR="00B84DCA" w:rsidRPr="00A258EC" w:rsidRDefault="00B84DCA" w:rsidP="00B84DCA">
            <w:pPr>
              <w:rPr>
                <w:b/>
                <w:sz w:val="16"/>
                <w:szCs w:val="16"/>
              </w:rPr>
            </w:pPr>
            <w:r w:rsidRPr="00A258EC">
              <w:rPr>
                <w:b/>
                <w:sz w:val="16"/>
                <w:szCs w:val="16"/>
              </w:rPr>
              <w:t>484</w:t>
            </w:r>
          </w:p>
        </w:tc>
        <w:tc>
          <w:tcPr>
            <w:tcW w:w="1293" w:type="dxa"/>
            <w:gridSpan w:val="2"/>
            <w:tcBorders>
              <w:top w:val="single" w:sz="4" w:space="0" w:color="auto"/>
              <w:left w:val="single" w:sz="4" w:space="0" w:color="auto"/>
              <w:bottom w:val="single" w:sz="4" w:space="0" w:color="auto"/>
              <w:right w:val="single" w:sz="4" w:space="0" w:color="auto"/>
            </w:tcBorders>
          </w:tcPr>
          <w:p w14:paraId="6451016A" w14:textId="77777777" w:rsidR="00B84DCA" w:rsidRPr="00A258EC" w:rsidRDefault="00B84DCA" w:rsidP="00B84DCA">
            <w:pPr>
              <w:rPr>
                <w:sz w:val="16"/>
                <w:szCs w:val="16"/>
              </w:rPr>
            </w:pPr>
            <w:r w:rsidRPr="00A258EC">
              <w:rPr>
                <w:sz w:val="16"/>
                <w:szCs w:val="16"/>
              </w:rPr>
              <w:t xml:space="preserve">Key study; mean measured concentration of sodium </w:t>
            </w:r>
            <w:proofErr w:type="spellStart"/>
            <w:r w:rsidRPr="00A258EC">
              <w:rPr>
                <w:sz w:val="16"/>
                <w:szCs w:val="16"/>
              </w:rPr>
              <w:t>benzoate</w:t>
            </w:r>
            <w:r w:rsidRPr="00A258EC">
              <w:rPr>
                <w:sz w:val="16"/>
                <w:szCs w:val="16"/>
                <w:vertAlign w:val="superscript"/>
              </w:rPr>
              <w:t>a</w:t>
            </w:r>
            <w:proofErr w:type="spellEnd"/>
            <w:r w:rsidRPr="00A258EC">
              <w:rPr>
                <w:sz w:val="16"/>
                <w:szCs w:val="16"/>
              </w:rPr>
              <w:t xml:space="preserve"> </w:t>
            </w:r>
          </w:p>
        </w:tc>
        <w:tc>
          <w:tcPr>
            <w:tcW w:w="1128" w:type="dxa"/>
            <w:tcBorders>
              <w:top w:val="single" w:sz="4" w:space="0" w:color="auto"/>
              <w:left w:val="single" w:sz="4" w:space="0" w:color="auto"/>
              <w:bottom w:val="single" w:sz="4" w:space="0" w:color="auto"/>
              <w:right w:val="single" w:sz="4" w:space="0" w:color="auto"/>
            </w:tcBorders>
          </w:tcPr>
          <w:p w14:paraId="12B02676" w14:textId="77777777" w:rsidR="00B84DCA" w:rsidRPr="007D5A8C" w:rsidRDefault="00B84DCA" w:rsidP="00B84DCA">
            <w:pPr>
              <w:rPr>
                <w:sz w:val="16"/>
                <w:szCs w:val="16"/>
                <w:lang w:val="nl-NL"/>
              </w:rPr>
            </w:pPr>
            <w:r w:rsidRPr="007D5A8C">
              <w:rPr>
                <w:sz w:val="16"/>
                <w:szCs w:val="16"/>
                <w:lang w:val="nl-NL"/>
              </w:rPr>
              <w:t xml:space="preserve">9.2.1.1;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7D5A8C">
              <w:rPr>
                <w:sz w:val="16"/>
                <w:szCs w:val="16"/>
                <w:lang w:val="nl-NL"/>
              </w:rPr>
              <w:t xml:space="preserve"> </w:t>
            </w:r>
            <w:r w:rsidRPr="007D5A8C">
              <w:rPr>
                <w:sz w:val="16"/>
                <w:szCs w:val="16"/>
                <w:lang w:val="nl-NL"/>
              </w:rPr>
              <w:t>(Ref. no. 2.2.8-1)</w:t>
            </w:r>
          </w:p>
        </w:tc>
      </w:tr>
      <w:tr w:rsidR="00B84DCA" w14:paraId="0E1F3599" w14:textId="77777777" w:rsidTr="00AA2BF4">
        <w:tc>
          <w:tcPr>
            <w:tcW w:w="1203" w:type="dxa"/>
            <w:tcBorders>
              <w:top w:val="single" w:sz="4" w:space="0" w:color="auto"/>
              <w:left w:val="single" w:sz="4" w:space="0" w:color="auto"/>
              <w:bottom w:val="single" w:sz="4" w:space="0" w:color="auto"/>
              <w:right w:val="single" w:sz="4" w:space="0" w:color="auto"/>
            </w:tcBorders>
          </w:tcPr>
          <w:p w14:paraId="0D588B9F" w14:textId="77777777" w:rsidR="00B84DCA" w:rsidRPr="00A258EC" w:rsidRDefault="00B84DCA" w:rsidP="00B84DCA">
            <w:pPr>
              <w:rPr>
                <w:sz w:val="16"/>
                <w:szCs w:val="16"/>
              </w:rPr>
            </w:pPr>
            <w:r w:rsidRPr="00A258EC">
              <w:rPr>
                <w:sz w:val="16"/>
                <w:szCs w:val="16"/>
              </w:rPr>
              <w:t>OECD 203; not GLP; reliability 3</w:t>
            </w:r>
          </w:p>
        </w:tc>
        <w:tc>
          <w:tcPr>
            <w:tcW w:w="1235" w:type="dxa"/>
            <w:tcBorders>
              <w:top w:val="single" w:sz="4" w:space="0" w:color="auto"/>
              <w:left w:val="single" w:sz="4" w:space="0" w:color="auto"/>
              <w:bottom w:val="single" w:sz="4" w:space="0" w:color="auto"/>
              <w:right w:val="single" w:sz="4" w:space="0" w:color="auto"/>
            </w:tcBorders>
          </w:tcPr>
          <w:p w14:paraId="18F115D3" w14:textId="77777777" w:rsidR="00B84DCA" w:rsidRPr="00A258EC" w:rsidRDefault="00B84DCA" w:rsidP="00B84DCA">
            <w:pPr>
              <w:rPr>
                <w:i/>
                <w:sz w:val="16"/>
                <w:szCs w:val="16"/>
              </w:rPr>
            </w:pPr>
            <w:proofErr w:type="spellStart"/>
            <w:r w:rsidRPr="00A258EC">
              <w:rPr>
                <w:i/>
                <w:sz w:val="16"/>
                <w:szCs w:val="16"/>
              </w:rPr>
              <w:t>Pimephales</w:t>
            </w:r>
            <w:proofErr w:type="spellEnd"/>
            <w:r w:rsidRPr="00A258EC">
              <w:rPr>
                <w:i/>
                <w:sz w:val="16"/>
                <w:szCs w:val="16"/>
              </w:rPr>
              <w:t xml:space="preserve"> </w:t>
            </w:r>
            <w:proofErr w:type="spellStart"/>
            <w:r w:rsidRPr="00A258EC">
              <w:rPr>
                <w:i/>
                <w:sz w:val="16"/>
                <w:szCs w:val="16"/>
              </w:rPr>
              <w:t>promelas</w:t>
            </w:r>
            <w:proofErr w:type="spellEnd"/>
          </w:p>
        </w:tc>
        <w:tc>
          <w:tcPr>
            <w:tcW w:w="850" w:type="dxa"/>
            <w:gridSpan w:val="3"/>
            <w:tcBorders>
              <w:top w:val="single" w:sz="4" w:space="0" w:color="auto"/>
              <w:left w:val="single" w:sz="4" w:space="0" w:color="auto"/>
              <w:bottom w:val="single" w:sz="4" w:space="0" w:color="auto"/>
              <w:right w:val="single" w:sz="4" w:space="0" w:color="auto"/>
            </w:tcBorders>
          </w:tcPr>
          <w:p w14:paraId="73DF08EE" w14:textId="77777777" w:rsidR="00B84DCA" w:rsidRPr="00A258EC" w:rsidRDefault="00B84DCA" w:rsidP="00B84DCA">
            <w:pPr>
              <w:rPr>
                <w:sz w:val="16"/>
                <w:szCs w:val="16"/>
              </w:rPr>
            </w:pPr>
            <w:r w:rsidRPr="00A258EC">
              <w:rPr>
                <w:sz w:val="16"/>
                <w:szCs w:val="16"/>
              </w:rPr>
              <w:t>Mortality</w:t>
            </w:r>
          </w:p>
        </w:tc>
        <w:tc>
          <w:tcPr>
            <w:tcW w:w="992" w:type="dxa"/>
            <w:gridSpan w:val="3"/>
            <w:tcBorders>
              <w:top w:val="single" w:sz="4" w:space="0" w:color="auto"/>
              <w:left w:val="single" w:sz="4" w:space="0" w:color="auto"/>
              <w:bottom w:val="single" w:sz="4" w:space="0" w:color="auto"/>
              <w:right w:val="single" w:sz="4" w:space="0" w:color="auto"/>
            </w:tcBorders>
          </w:tcPr>
          <w:p w14:paraId="4E668507" w14:textId="77777777" w:rsidR="00B84DCA" w:rsidRPr="00A258EC" w:rsidRDefault="00B84DCA" w:rsidP="00B84DCA">
            <w:pPr>
              <w:rPr>
                <w:sz w:val="16"/>
                <w:szCs w:val="16"/>
              </w:rPr>
            </w:pPr>
            <w:r w:rsidRPr="00A258EC">
              <w:rPr>
                <w:sz w:val="16"/>
                <w:szCs w:val="16"/>
              </w:rPr>
              <w:t>Static</w:t>
            </w:r>
          </w:p>
        </w:tc>
        <w:tc>
          <w:tcPr>
            <w:tcW w:w="850" w:type="dxa"/>
            <w:gridSpan w:val="3"/>
            <w:tcBorders>
              <w:top w:val="single" w:sz="4" w:space="0" w:color="auto"/>
              <w:left w:val="single" w:sz="4" w:space="0" w:color="auto"/>
              <w:bottom w:val="single" w:sz="4" w:space="0" w:color="auto"/>
              <w:right w:val="single" w:sz="4" w:space="0" w:color="auto"/>
            </w:tcBorders>
          </w:tcPr>
          <w:p w14:paraId="4E0A2D0B" w14:textId="77777777" w:rsidR="00B84DCA" w:rsidRPr="00A258EC" w:rsidRDefault="00B84DCA" w:rsidP="00B84DCA">
            <w:pPr>
              <w:rPr>
                <w:sz w:val="16"/>
                <w:szCs w:val="16"/>
              </w:rPr>
            </w:pPr>
            <w:r w:rsidRPr="00A258EC">
              <w:rPr>
                <w:sz w:val="16"/>
                <w:szCs w:val="16"/>
              </w:rPr>
              <w:t>96h</w:t>
            </w:r>
          </w:p>
        </w:tc>
        <w:tc>
          <w:tcPr>
            <w:tcW w:w="607" w:type="dxa"/>
            <w:gridSpan w:val="3"/>
            <w:tcBorders>
              <w:top w:val="single" w:sz="4" w:space="0" w:color="auto"/>
              <w:left w:val="single" w:sz="4" w:space="0" w:color="auto"/>
              <w:bottom w:val="single" w:sz="4" w:space="0" w:color="auto"/>
              <w:right w:val="single" w:sz="4" w:space="0" w:color="auto"/>
            </w:tcBorders>
          </w:tcPr>
          <w:p w14:paraId="776ECE1E" w14:textId="77777777" w:rsidR="00B84DCA" w:rsidRPr="00A258EC" w:rsidRDefault="00B84DCA" w:rsidP="00B84DCA">
            <w:pPr>
              <w:rPr>
                <w:sz w:val="16"/>
                <w:szCs w:val="16"/>
              </w:rPr>
            </w:pPr>
            <w:r w:rsidRPr="00A258EC">
              <w:rPr>
                <w:sz w:val="16"/>
                <w:szCs w:val="16"/>
              </w:rPr>
              <w:t>-</w:t>
            </w:r>
          </w:p>
        </w:tc>
        <w:tc>
          <w:tcPr>
            <w:tcW w:w="503" w:type="dxa"/>
            <w:gridSpan w:val="2"/>
            <w:tcBorders>
              <w:top w:val="single" w:sz="4" w:space="0" w:color="auto"/>
              <w:left w:val="single" w:sz="4" w:space="0" w:color="auto"/>
              <w:bottom w:val="single" w:sz="4" w:space="0" w:color="auto"/>
              <w:right w:val="single" w:sz="4" w:space="0" w:color="auto"/>
            </w:tcBorders>
          </w:tcPr>
          <w:p w14:paraId="70E64DE8" w14:textId="77777777"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14:paraId="4E47A49B" w14:textId="77777777" w:rsidR="00B84DCA" w:rsidRPr="00A258EC" w:rsidRDefault="00B84DCA" w:rsidP="00B84DCA">
            <w:pPr>
              <w:rPr>
                <w:sz w:val="16"/>
                <w:szCs w:val="16"/>
              </w:rPr>
            </w:pPr>
            <w:r w:rsidRPr="00A258EC">
              <w:rPr>
                <w:sz w:val="16"/>
                <w:szCs w:val="16"/>
              </w:rPr>
              <w:t>&gt;100</w:t>
            </w:r>
          </w:p>
        </w:tc>
        <w:tc>
          <w:tcPr>
            <w:tcW w:w="1293" w:type="dxa"/>
            <w:gridSpan w:val="2"/>
            <w:tcBorders>
              <w:top w:val="single" w:sz="4" w:space="0" w:color="auto"/>
              <w:left w:val="single" w:sz="4" w:space="0" w:color="auto"/>
              <w:bottom w:val="single" w:sz="4" w:space="0" w:color="auto"/>
              <w:right w:val="single" w:sz="4" w:space="0" w:color="auto"/>
            </w:tcBorders>
          </w:tcPr>
          <w:p w14:paraId="2D82BABB" w14:textId="77777777"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14:paraId="0B426B68" w14:textId="77777777" w:rsidR="00B84DCA" w:rsidRPr="00A258EC" w:rsidRDefault="00B84DCA" w:rsidP="00B84DCA">
            <w:pPr>
              <w:rPr>
                <w:sz w:val="16"/>
                <w:szCs w:val="16"/>
              </w:rPr>
            </w:pPr>
            <w:r w:rsidRPr="00A258EC">
              <w:rPr>
                <w:sz w:val="16"/>
                <w:szCs w:val="16"/>
              </w:rPr>
              <w:t xml:space="preserve">9.2.1.1;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2.2.8-2)</w:t>
            </w:r>
          </w:p>
        </w:tc>
      </w:tr>
      <w:tr w:rsidR="00B84DCA" w14:paraId="5986CF35" w14:textId="77777777" w:rsidTr="00AA2BF4">
        <w:tc>
          <w:tcPr>
            <w:tcW w:w="1203" w:type="dxa"/>
            <w:tcBorders>
              <w:top w:val="single" w:sz="4" w:space="0" w:color="auto"/>
              <w:left w:val="single" w:sz="4" w:space="0" w:color="auto"/>
              <w:bottom w:val="single" w:sz="4" w:space="0" w:color="auto"/>
              <w:right w:val="single" w:sz="4" w:space="0" w:color="auto"/>
            </w:tcBorders>
          </w:tcPr>
          <w:p w14:paraId="5E57E6A0" w14:textId="77777777" w:rsidR="00B84DCA" w:rsidRPr="00A258EC" w:rsidRDefault="00B84DCA" w:rsidP="00B84DCA">
            <w:pPr>
              <w:rPr>
                <w:sz w:val="16"/>
                <w:szCs w:val="16"/>
              </w:rPr>
            </w:pPr>
            <w:r w:rsidRPr="00A258EC">
              <w:rPr>
                <w:sz w:val="16"/>
                <w:szCs w:val="16"/>
              </w:rPr>
              <w:t>No guideline followed; not GLP; reliability 3</w:t>
            </w:r>
          </w:p>
        </w:tc>
        <w:tc>
          <w:tcPr>
            <w:tcW w:w="1235" w:type="dxa"/>
            <w:tcBorders>
              <w:top w:val="single" w:sz="4" w:space="0" w:color="auto"/>
              <w:left w:val="single" w:sz="4" w:space="0" w:color="auto"/>
              <w:bottom w:val="single" w:sz="4" w:space="0" w:color="auto"/>
              <w:right w:val="single" w:sz="4" w:space="0" w:color="auto"/>
            </w:tcBorders>
          </w:tcPr>
          <w:p w14:paraId="6D37833B" w14:textId="77777777" w:rsidR="00B84DCA" w:rsidRPr="00A258EC" w:rsidRDefault="00B84DCA" w:rsidP="00B84DCA">
            <w:pPr>
              <w:rPr>
                <w:i/>
                <w:sz w:val="16"/>
                <w:szCs w:val="16"/>
              </w:rPr>
            </w:pPr>
            <w:r w:rsidRPr="00A258EC">
              <w:rPr>
                <w:i/>
                <w:sz w:val="16"/>
                <w:szCs w:val="16"/>
              </w:rPr>
              <w:t>Danio rerio</w:t>
            </w:r>
          </w:p>
        </w:tc>
        <w:tc>
          <w:tcPr>
            <w:tcW w:w="850" w:type="dxa"/>
            <w:gridSpan w:val="3"/>
            <w:tcBorders>
              <w:top w:val="single" w:sz="4" w:space="0" w:color="auto"/>
              <w:left w:val="single" w:sz="4" w:space="0" w:color="auto"/>
              <w:bottom w:val="single" w:sz="4" w:space="0" w:color="auto"/>
              <w:right w:val="single" w:sz="4" w:space="0" w:color="auto"/>
            </w:tcBorders>
          </w:tcPr>
          <w:p w14:paraId="05B258FC" w14:textId="77777777" w:rsidR="00B84DCA" w:rsidRPr="00A258EC" w:rsidRDefault="00131D42" w:rsidP="00B84DCA">
            <w:pPr>
              <w:rPr>
                <w:sz w:val="16"/>
                <w:szCs w:val="16"/>
              </w:rPr>
            </w:pPr>
            <w:r>
              <w:rPr>
                <w:sz w:val="16"/>
                <w:szCs w:val="16"/>
              </w:rPr>
              <w:t>Malforma</w:t>
            </w:r>
            <w:r w:rsidR="00B84DCA" w:rsidRPr="00A258EC">
              <w:rPr>
                <w:sz w:val="16"/>
                <w:szCs w:val="16"/>
              </w:rPr>
              <w:t>tions</w:t>
            </w:r>
          </w:p>
        </w:tc>
        <w:tc>
          <w:tcPr>
            <w:tcW w:w="992" w:type="dxa"/>
            <w:gridSpan w:val="3"/>
            <w:tcBorders>
              <w:top w:val="single" w:sz="4" w:space="0" w:color="auto"/>
              <w:left w:val="single" w:sz="4" w:space="0" w:color="auto"/>
              <w:bottom w:val="single" w:sz="4" w:space="0" w:color="auto"/>
              <w:right w:val="single" w:sz="4" w:space="0" w:color="auto"/>
            </w:tcBorders>
          </w:tcPr>
          <w:p w14:paraId="260C7A6A" w14:textId="77777777" w:rsidR="00B84DCA" w:rsidRPr="00A258EC" w:rsidRDefault="00B84DCA" w:rsidP="00B84DCA">
            <w:pPr>
              <w:rPr>
                <w:sz w:val="16"/>
                <w:szCs w:val="16"/>
              </w:rPr>
            </w:pPr>
            <w:r w:rsidRPr="00A258EC">
              <w:rPr>
                <w:sz w:val="16"/>
                <w:szCs w:val="16"/>
              </w:rPr>
              <w:t>Semi-static</w:t>
            </w:r>
          </w:p>
        </w:tc>
        <w:tc>
          <w:tcPr>
            <w:tcW w:w="850" w:type="dxa"/>
            <w:gridSpan w:val="3"/>
            <w:tcBorders>
              <w:top w:val="single" w:sz="4" w:space="0" w:color="auto"/>
              <w:left w:val="single" w:sz="4" w:space="0" w:color="auto"/>
              <w:bottom w:val="single" w:sz="4" w:space="0" w:color="auto"/>
              <w:right w:val="single" w:sz="4" w:space="0" w:color="auto"/>
            </w:tcBorders>
          </w:tcPr>
          <w:p w14:paraId="47C0F732" w14:textId="77777777" w:rsidR="00B84DCA" w:rsidRPr="00A258EC" w:rsidRDefault="00B84DCA" w:rsidP="00B84DCA">
            <w:pPr>
              <w:rPr>
                <w:sz w:val="16"/>
                <w:szCs w:val="16"/>
              </w:rPr>
            </w:pPr>
            <w:r w:rsidRPr="00A258EC">
              <w:rPr>
                <w:sz w:val="16"/>
                <w:szCs w:val="16"/>
              </w:rPr>
              <w:t>24h</w:t>
            </w:r>
          </w:p>
        </w:tc>
        <w:tc>
          <w:tcPr>
            <w:tcW w:w="607" w:type="dxa"/>
            <w:gridSpan w:val="3"/>
            <w:tcBorders>
              <w:top w:val="single" w:sz="4" w:space="0" w:color="auto"/>
              <w:left w:val="single" w:sz="4" w:space="0" w:color="auto"/>
              <w:bottom w:val="single" w:sz="4" w:space="0" w:color="auto"/>
              <w:right w:val="single" w:sz="4" w:space="0" w:color="auto"/>
            </w:tcBorders>
          </w:tcPr>
          <w:p w14:paraId="50D805F7" w14:textId="77777777" w:rsidR="00B84DCA" w:rsidRPr="00A258EC" w:rsidRDefault="00B84DCA" w:rsidP="00B84DCA">
            <w:pPr>
              <w:rPr>
                <w:sz w:val="16"/>
                <w:szCs w:val="16"/>
              </w:rPr>
            </w:pPr>
            <w:r w:rsidRPr="00A258EC">
              <w:rPr>
                <w:sz w:val="16"/>
                <w:szCs w:val="16"/>
              </w:rPr>
              <w:t>10</w:t>
            </w:r>
          </w:p>
        </w:tc>
        <w:tc>
          <w:tcPr>
            <w:tcW w:w="503" w:type="dxa"/>
            <w:gridSpan w:val="2"/>
            <w:tcBorders>
              <w:top w:val="single" w:sz="4" w:space="0" w:color="auto"/>
              <w:left w:val="single" w:sz="4" w:space="0" w:color="auto"/>
              <w:bottom w:val="single" w:sz="4" w:space="0" w:color="auto"/>
              <w:right w:val="single" w:sz="4" w:space="0" w:color="auto"/>
            </w:tcBorders>
          </w:tcPr>
          <w:p w14:paraId="0A69B58B" w14:textId="77777777"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14:paraId="14663CB0" w14:textId="77777777" w:rsidR="00B84DCA" w:rsidRPr="00A258EC" w:rsidRDefault="00B84DCA" w:rsidP="00B84DCA">
            <w:pPr>
              <w:rPr>
                <w:sz w:val="16"/>
                <w:szCs w:val="16"/>
              </w:rPr>
            </w:pPr>
            <w:r w:rsidRPr="00A258EC">
              <w:rPr>
                <w:sz w:val="16"/>
                <w:szCs w:val="16"/>
              </w:rPr>
              <w:t>-</w:t>
            </w:r>
          </w:p>
        </w:tc>
        <w:tc>
          <w:tcPr>
            <w:tcW w:w="1293" w:type="dxa"/>
            <w:gridSpan w:val="2"/>
            <w:tcBorders>
              <w:top w:val="single" w:sz="4" w:space="0" w:color="auto"/>
              <w:left w:val="single" w:sz="4" w:space="0" w:color="auto"/>
              <w:bottom w:val="single" w:sz="4" w:space="0" w:color="auto"/>
              <w:right w:val="single" w:sz="4" w:space="0" w:color="auto"/>
            </w:tcBorders>
          </w:tcPr>
          <w:p w14:paraId="3132DF57" w14:textId="77777777"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14:paraId="07AED750" w14:textId="77777777" w:rsidR="00B84DCA" w:rsidRPr="00A258EC" w:rsidRDefault="00B84DCA" w:rsidP="00B84DCA">
            <w:pPr>
              <w:rPr>
                <w:sz w:val="16"/>
                <w:szCs w:val="16"/>
              </w:rPr>
            </w:pPr>
            <w:r w:rsidRPr="00A258EC">
              <w:rPr>
                <w:sz w:val="16"/>
                <w:szCs w:val="16"/>
              </w:rPr>
              <w:t xml:space="preserve">9.2.1.6.1;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2.2.8-3)</w:t>
            </w:r>
          </w:p>
        </w:tc>
      </w:tr>
      <w:tr w:rsidR="00B84DCA" w14:paraId="4E5F82DE" w14:textId="77777777" w:rsidTr="00B84DCA">
        <w:tc>
          <w:tcPr>
            <w:tcW w:w="9420" w:type="dxa"/>
            <w:gridSpan w:val="20"/>
            <w:tcBorders>
              <w:top w:val="single" w:sz="4" w:space="0" w:color="auto"/>
              <w:left w:val="single" w:sz="4" w:space="0" w:color="auto"/>
              <w:bottom w:val="single" w:sz="4" w:space="0" w:color="auto"/>
              <w:right w:val="single" w:sz="4" w:space="0" w:color="auto"/>
            </w:tcBorders>
          </w:tcPr>
          <w:p w14:paraId="23C81878" w14:textId="77777777" w:rsidR="00B84DCA" w:rsidRPr="00A258EC" w:rsidRDefault="00B84DCA" w:rsidP="00B84DCA">
            <w:pPr>
              <w:spacing w:line="260" w:lineRule="atLeast"/>
              <w:rPr>
                <w:b/>
                <w:color w:val="000000"/>
              </w:rPr>
            </w:pPr>
            <w:r w:rsidRPr="00A258EC">
              <w:rPr>
                <w:b/>
                <w:color w:val="000000"/>
              </w:rPr>
              <w:t>Aquatic invertebrates</w:t>
            </w:r>
          </w:p>
        </w:tc>
      </w:tr>
      <w:tr w:rsidR="00B84DCA" w14:paraId="534107F8" w14:textId="77777777" w:rsidTr="00AA2BF4">
        <w:tc>
          <w:tcPr>
            <w:tcW w:w="1203" w:type="dxa"/>
            <w:tcBorders>
              <w:top w:val="single" w:sz="4" w:space="0" w:color="auto"/>
              <w:left w:val="single" w:sz="4" w:space="0" w:color="auto"/>
              <w:bottom w:val="single" w:sz="4" w:space="0" w:color="auto"/>
              <w:right w:val="single" w:sz="4" w:space="0" w:color="auto"/>
            </w:tcBorders>
          </w:tcPr>
          <w:p w14:paraId="412C5F3B" w14:textId="77777777" w:rsidR="00B84DCA" w:rsidRPr="00A258EC" w:rsidRDefault="00B84DCA" w:rsidP="00B84DCA">
            <w:pPr>
              <w:rPr>
                <w:sz w:val="16"/>
                <w:szCs w:val="16"/>
              </w:rPr>
            </w:pPr>
            <w:r w:rsidRPr="00A258EC">
              <w:rPr>
                <w:sz w:val="16"/>
                <w:szCs w:val="16"/>
              </w:rPr>
              <w:t>OECD 202; GLP; reliability 2</w:t>
            </w:r>
          </w:p>
        </w:tc>
        <w:tc>
          <w:tcPr>
            <w:tcW w:w="1246" w:type="dxa"/>
            <w:gridSpan w:val="2"/>
            <w:tcBorders>
              <w:top w:val="single" w:sz="4" w:space="0" w:color="auto"/>
              <w:left w:val="single" w:sz="4" w:space="0" w:color="auto"/>
              <w:bottom w:val="single" w:sz="4" w:space="0" w:color="auto"/>
              <w:right w:val="single" w:sz="4" w:space="0" w:color="auto"/>
            </w:tcBorders>
          </w:tcPr>
          <w:p w14:paraId="5E4E3971" w14:textId="77777777" w:rsidR="00B84DCA" w:rsidRPr="00A258EC" w:rsidRDefault="00B84DCA"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14:paraId="79FE8A2D" w14:textId="77777777" w:rsidR="00B84DCA" w:rsidRPr="00A258EC" w:rsidRDefault="00B84DCA" w:rsidP="00B84DCA">
            <w:pPr>
              <w:rPr>
                <w:sz w:val="16"/>
                <w:szCs w:val="16"/>
              </w:rPr>
            </w:pPr>
            <w:r w:rsidRPr="00A258EC">
              <w:rPr>
                <w:sz w:val="16"/>
                <w:szCs w:val="16"/>
              </w:rPr>
              <w:t>Mobility</w:t>
            </w:r>
          </w:p>
        </w:tc>
        <w:tc>
          <w:tcPr>
            <w:tcW w:w="996" w:type="dxa"/>
            <w:gridSpan w:val="3"/>
            <w:tcBorders>
              <w:top w:val="single" w:sz="4" w:space="0" w:color="auto"/>
              <w:left w:val="single" w:sz="4" w:space="0" w:color="auto"/>
              <w:bottom w:val="single" w:sz="4" w:space="0" w:color="auto"/>
              <w:right w:val="single" w:sz="4" w:space="0" w:color="auto"/>
            </w:tcBorders>
          </w:tcPr>
          <w:p w14:paraId="3507D04B" w14:textId="77777777" w:rsidR="00B84DCA" w:rsidRPr="00A258EC" w:rsidRDefault="00B84DCA" w:rsidP="00B84DCA">
            <w:pPr>
              <w:rPr>
                <w:sz w:val="16"/>
                <w:szCs w:val="16"/>
              </w:rPr>
            </w:pPr>
            <w:r w:rsidRPr="00A258EC">
              <w:rPr>
                <w:sz w:val="16"/>
                <w:szCs w:val="16"/>
              </w:rPr>
              <w:t>Semi-static</w:t>
            </w:r>
          </w:p>
        </w:tc>
        <w:tc>
          <w:tcPr>
            <w:tcW w:w="854" w:type="dxa"/>
            <w:gridSpan w:val="3"/>
            <w:tcBorders>
              <w:top w:val="single" w:sz="4" w:space="0" w:color="auto"/>
              <w:left w:val="single" w:sz="4" w:space="0" w:color="auto"/>
              <w:bottom w:val="single" w:sz="4" w:space="0" w:color="auto"/>
              <w:right w:val="single" w:sz="4" w:space="0" w:color="auto"/>
            </w:tcBorders>
          </w:tcPr>
          <w:p w14:paraId="07CE8F1D" w14:textId="77777777" w:rsidR="00B84DCA" w:rsidRPr="00A258EC" w:rsidRDefault="00B84DCA" w:rsidP="00B84DCA">
            <w:pPr>
              <w:rPr>
                <w:sz w:val="16"/>
                <w:szCs w:val="16"/>
              </w:rPr>
            </w:pPr>
            <w:r w:rsidRPr="00A258EC">
              <w:rPr>
                <w:sz w:val="16"/>
                <w:szCs w:val="16"/>
              </w:rPr>
              <w:t>48h</w:t>
            </w:r>
          </w:p>
        </w:tc>
        <w:tc>
          <w:tcPr>
            <w:tcW w:w="583" w:type="dxa"/>
            <w:gridSpan w:val="2"/>
            <w:tcBorders>
              <w:top w:val="single" w:sz="4" w:space="0" w:color="auto"/>
              <w:left w:val="single" w:sz="4" w:space="0" w:color="auto"/>
              <w:bottom w:val="single" w:sz="4" w:space="0" w:color="auto"/>
              <w:right w:val="single" w:sz="4" w:space="0" w:color="auto"/>
            </w:tcBorders>
          </w:tcPr>
          <w:p w14:paraId="1A54F20D" w14:textId="77777777"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14:paraId="47D69E23" w14:textId="77777777"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0F7D6E26" w14:textId="77777777" w:rsidR="00B84DCA" w:rsidRPr="00131D42" w:rsidRDefault="00127A11" w:rsidP="00B84DCA">
            <w:pPr>
              <w:rPr>
                <w:b/>
                <w:sz w:val="16"/>
                <w:szCs w:val="16"/>
              </w:rPr>
            </w:pPr>
            <w:r>
              <w:rPr>
                <w:b/>
                <w:sz w:val="16"/>
                <w:szCs w:val="16"/>
              </w:rPr>
              <w:t>&gt;142</w:t>
            </w:r>
          </w:p>
        </w:tc>
        <w:tc>
          <w:tcPr>
            <w:tcW w:w="1279" w:type="dxa"/>
            <w:tcBorders>
              <w:top w:val="single" w:sz="4" w:space="0" w:color="auto"/>
              <w:left w:val="single" w:sz="4" w:space="0" w:color="auto"/>
              <w:bottom w:val="single" w:sz="4" w:space="0" w:color="auto"/>
              <w:right w:val="single" w:sz="4" w:space="0" w:color="auto"/>
            </w:tcBorders>
          </w:tcPr>
          <w:p w14:paraId="59F75B94" w14:textId="77777777" w:rsidR="00B84DCA" w:rsidRPr="00131D42" w:rsidRDefault="00B84DCA" w:rsidP="00B84DCA">
            <w:pPr>
              <w:rPr>
                <w:sz w:val="16"/>
                <w:szCs w:val="16"/>
              </w:rPr>
            </w:pPr>
            <w:r w:rsidRPr="00131D42">
              <w:rPr>
                <w:sz w:val="16"/>
                <w:szCs w:val="16"/>
              </w:rPr>
              <w:t xml:space="preserve">Key study; read across benzoic acid; nominal concentration of benzoic </w:t>
            </w:r>
            <w:proofErr w:type="spellStart"/>
            <w:r w:rsidRPr="00131D42">
              <w:rPr>
                <w:sz w:val="16"/>
                <w:szCs w:val="16"/>
              </w:rPr>
              <w:t>acid</w:t>
            </w:r>
            <w:r w:rsidRPr="00131D42">
              <w:rPr>
                <w:sz w:val="16"/>
                <w:szCs w:val="16"/>
                <w:vertAlign w:val="superscript"/>
              </w:rPr>
              <w:t>b</w:t>
            </w:r>
            <w:proofErr w:type="spellEnd"/>
            <w:r w:rsidR="00127A11">
              <w:rPr>
                <w:sz w:val="16"/>
                <w:szCs w:val="16"/>
                <w:vertAlign w:val="superscript"/>
              </w:rPr>
              <w:t>, c</w:t>
            </w:r>
          </w:p>
        </w:tc>
        <w:tc>
          <w:tcPr>
            <w:tcW w:w="1128" w:type="dxa"/>
            <w:tcBorders>
              <w:top w:val="single" w:sz="4" w:space="0" w:color="auto"/>
              <w:left w:val="single" w:sz="4" w:space="0" w:color="auto"/>
              <w:bottom w:val="single" w:sz="4" w:space="0" w:color="auto"/>
              <w:right w:val="single" w:sz="4" w:space="0" w:color="auto"/>
            </w:tcBorders>
          </w:tcPr>
          <w:p w14:paraId="01812A51" w14:textId="77777777" w:rsidR="00B84DCA" w:rsidRPr="00B567C9" w:rsidRDefault="00B84DCA" w:rsidP="00B84DCA">
            <w:pPr>
              <w:rPr>
                <w:sz w:val="16"/>
                <w:szCs w:val="16"/>
              </w:rPr>
            </w:pPr>
            <w:r w:rsidRPr="00B567C9">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B567C9">
              <w:rPr>
                <w:sz w:val="16"/>
                <w:szCs w:val="16"/>
              </w:rPr>
              <w:t xml:space="preserve"> </w:t>
            </w:r>
            <w:r w:rsidRPr="00B567C9">
              <w:rPr>
                <w:sz w:val="16"/>
                <w:szCs w:val="16"/>
              </w:rPr>
              <w:t>(Ref. no. 2.2.8-4)</w:t>
            </w:r>
          </w:p>
        </w:tc>
      </w:tr>
      <w:tr w:rsidR="006F5625" w14:paraId="6C639704" w14:textId="77777777" w:rsidTr="00AA2BF4">
        <w:tc>
          <w:tcPr>
            <w:tcW w:w="1203" w:type="dxa"/>
            <w:tcBorders>
              <w:top w:val="single" w:sz="4" w:space="0" w:color="auto"/>
              <w:left w:val="single" w:sz="4" w:space="0" w:color="auto"/>
              <w:bottom w:val="single" w:sz="4" w:space="0" w:color="auto"/>
              <w:right w:val="single" w:sz="4" w:space="0" w:color="auto"/>
            </w:tcBorders>
          </w:tcPr>
          <w:p w14:paraId="00DB84D3" w14:textId="77777777" w:rsidR="006F5625" w:rsidRPr="00A258EC" w:rsidRDefault="006F5625" w:rsidP="00B84DCA">
            <w:pPr>
              <w:rPr>
                <w:sz w:val="16"/>
                <w:szCs w:val="16"/>
              </w:rPr>
            </w:pPr>
            <w:r>
              <w:rPr>
                <w:sz w:val="16"/>
                <w:szCs w:val="16"/>
              </w:rPr>
              <w:t xml:space="preserve">OECD 211 (1998); GLP; reliability 1 </w:t>
            </w:r>
          </w:p>
        </w:tc>
        <w:tc>
          <w:tcPr>
            <w:tcW w:w="1246" w:type="dxa"/>
            <w:gridSpan w:val="2"/>
            <w:tcBorders>
              <w:top w:val="single" w:sz="4" w:space="0" w:color="auto"/>
              <w:left w:val="single" w:sz="4" w:space="0" w:color="auto"/>
              <w:bottom w:val="single" w:sz="4" w:space="0" w:color="auto"/>
              <w:right w:val="single" w:sz="4" w:space="0" w:color="auto"/>
            </w:tcBorders>
          </w:tcPr>
          <w:p w14:paraId="0083356C" w14:textId="77777777" w:rsidR="006F5625" w:rsidRPr="00A258EC" w:rsidRDefault="006F5625"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14:paraId="44A52E80" w14:textId="77777777" w:rsidR="006F5625" w:rsidRPr="00A258EC" w:rsidRDefault="006F5625" w:rsidP="00B84DCA">
            <w:pPr>
              <w:rPr>
                <w:sz w:val="16"/>
                <w:szCs w:val="16"/>
              </w:rPr>
            </w:pPr>
            <w:r>
              <w:rPr>
                <w:sz w:val="16"/>
                <w:szCs w:val="16"/>
              </w:rPr>
              <w:t>Mortality and reproduction</w:t>
            </w:r>
          </w:p>
        </w:tc>
        <w:tc>
          <w:tcPr>
            <w:tcW w:w="996" w:type="dxa"/>
            <w:gridSpan w:val="3"/>
            <w:tcBorders>
              <w:top w:val="single" w:sz="4" w:space="0" w:color="auto"/>
              <w:left w:val="single" w:sz="4" w:space="0" w:color="auto"/>
              <w:bottom w:val="single" w:sz="4" w:space="0" w:color="auto"/>
              <w:right w:val="single" w:sz="4" w:space="0" w:color="auto"/>
            </w:tcBorders>
          </w:tcPr>
          <w:p w14:paraId="0FF5C7AB" w14:textId="77777777" w:rsidR="006F5625" w:rsidRPr="00A258EC" w:rsidRDefault="006F5625" w:rsidP="00B84DCA">
            <w:pPr>
              <w:rPr>
                <w:sz w:val="16"/>
                <w:szCs w:val="16"/>
              </w:rPr>
            </w:pPr>
            <w:r w:rsidRPr="00A258EC">
              <w:rPr>
                <w:sz w:val="16"/>
                <w:szCs w:val="16"/>
              </w:rPr>
              <w:t>Semi-static</w:t>
            </w:r>
          </w:p>
        </w:tc>
        <w:tc>
          <w:tcPr>
            <w:tcW w:w="854" w:type="dxa"/>
            <w:gridSpan w:val="3"/>
            <w:tcBorders>
              <w:top w:val="single" w:sz="4" w:space="0" w:color="auto"/>
              <w:left w:val="single" w:sz="4" w:space="0" w:color="auto"/>
              <w:bottom w:val="single" w:sz="4" w:space="0" w:color="auto"/>
              <w:right w:val="single" w:sz="4" w:space="0" w:color="auto"/>
            </w:tcBorders>
          </w:tcPr>
          <w:p w14:paraId="62F9AA35" w14:textId="77777777" w:rsidR="006F5625" w:rsidRPr="00A258EC" w:rsidRDefault="006F5625" w:rsidP="00B84DCA">
            <w:pPr>
              <w:rPr>
                <w:sz w:val="16"/>
                <w:szCs w:val="16"/>
              </w:rPr>
            </w:pPr>
            <w:r>
              <w:rPr>
                <w:sz w:val="16"/>
                <w:szCs w:val="16"/>
              </w:rPr>
              <w:t>21d</w:t>
            </w:r>
          </w:p>
        </w:tc>
        <w:tc>
          <w:tcPr>
            <w:tcW w:w="583" w:type="dxa"/>
            <w:gridSpan w:val="2"/>
            <w:tcBorders>
              <w:top w:val="single" w:sz="4" w:space="0" w:color="auto"/>
              <w:left w:val="single" w:sz="4" w:space="0" w:color="auto"/>
              <w:bottom w:val="single" w:sz="4" w:space="0" w:color="auto"/>
              <w:right w:val="single" w:sz="4" w:space="0" w:color="auto"/>
            </w:tcBorders>
          </w:tcPr>
          <w:p w14:paraId="1F03B136" w14:textId="77777777" w:rsidR="006F5625" w:rsidRPr="006F5625" w:rsidRDefault="006F5625" w:rsidP="00B84DCA">
            <w:pPr>
              <w:rPr>
                <w:b/>
                <w:sz w:val="16"/>
                <w:szCs w:val="16"/>
              </w:rPr>
            </w:pPr>
            <w:r w:rsidRPr="006F5625">
              <w:rPr>
                <w:b/>
                <w:sz w:val="16"/>
                <w:szCs w:val="16"/>
              </w:rPr>
              <w:t>2</w:t>
            </w:r>
            <w:r w:rsidR="00127A11">
              <w:rPr>
                <w:b/>
                <w:sz w:val="16"/>
                <w:szCs w:val="16"/>
              </w:rPr>
              <w:t>9.</w:t>
            </w:r>
            <w:r w:rsidRPr="006F5625">
              <w:rPr>
                <w:b/>
                <w:sz w:val="16"/>
                <w:szCs w:val="16"/>
              </w:rPr>
              <w:t>5</w:t>
            </w:r>
          </w:p>
        </w:tc>
        <w:tc>
          <w:tcPr>
            <w:tcW w:w="426" w:type="dxa"/>
            <w:tcBorders>
              <w:top w:val="single" w:sz="4" w:space="0" w:color="auto"/>
              <w:left w:val="single" w:sz="4" w:space="0" w:color="auto"/>
              <w:bottom w:val="single" w:sz="4" w:space="0" w:color="auto"/>
              <w:right w:val="single" w:sz="4" w:space="0" w:color="auto"/>
            </w:tcBorders>
          </w:tcPr>
          <w:p w14:paraId="6BB2250E" w14:textId="77777777" w:rsidR="006F5625" w:rsidRPr="00A258EC" w:rsidRDefault="006F5625" w:rsidP="00B84DCA">
            <w:pPr>
              <w:rPr>
                <w:sz w:val="16"/>
                <w:szCs w:val="16"/>
              </w:rPr>
            </w:pPr>
            <w:r>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2C446C05" w14:textId="77777777" w:rsidR="006F5625" w:rsidRPr="00131D42" w:rsidRDefault="006F5625" w:rsidP="00B84DCA">
            <w:pPr>
              <w:rPr>
                <w:b/>
                <w:sz w:val="16"/>
                <w:szCs w:val="16"/>
              </w:rPr>
            </w:pPr>
            <w:r w:rsidRPr="00131D42">
              <w:rPr>
                <w:b/>
                <w:sz w:val="16"/>
                <w:szCs w:val="16"/>
              </w:rPr>
              <w:t>-</w:t>
            </w:r>
          </w:p>
        </w:tc>
        <w:tc>
          <w:tcPr>
            <w:tcW w:w="1279" w:type="dxa"/>
            <w:tcBorders>
              <w:top w:val="single" w:sz="4" w:space="0" w:color="auto"/>
              <w:left w:val="single" w:sz="4" w:space="0" w:color="auto"/>
              <w:bottom w:val="single" w:sz="4" w:space="0" w:color="auto"/>
              <w:right w:val="single" w:sz="4" w:space="0" w:color="auto"/>
            </w:tcBorders>
          </w:tcPr>
          <w:p w14:paraId="57F0BEE0" w14:textId="77777777" w:rsidR="006F5625" w:rsidRPr="00131D42" w:rsidRDefault="006F5625" w:rsidP="00B84DCA">
            <w:pPr>
              <w:rPr>
                <w:sz w:val="16"/>
                <w:szCs w:val="16"/>
              </w:rPr>
            </w:pPr>
            <w:r w:rsidRPr="00131D42">
              <w:rPr>
                <w:sz w:val="16"/>
                <w:szCs w:val="16"/>
              </w:rPr>
              <w:t xml:space="preserve">Key study; read across benzoic acid; nominal concentration of benzoic </w:t>
            </w:r>
            <w:proofErr w:type="spellStart"/>
            <w:r w:rsidRPr="00131D42">
              <w:rPr>
                <w:sz w:val="16"/>
                <w:szCs w:val="16"/>
              </w:rPr>
              <w:t>acid</w:t>
            </w:r>
            <w:r w:rsidR="00127A11" w:rsidRPr="00127A11">
              <w:rPr>
                <w:sz w:val="16"/>
                <w:szCs w:val="16"/>
                <w:vertAlign w:val="superscript"/>
              </w:rPr>
              <w:t>c,d</w:t>
            </w:r>
            <w:proofErr w:type="spellEnd"/>
          </w:p>
        </w:tc>
        <w:tc>
          <w:tcPr>
            <w:tcW w:w="1128" w:type="dxa"/>
            <w:tcBorders>
              <w:top w:val="single" w:sz="4" w:space="0" w:color="auto"/>
              <w:left w:val="single" w:sz="4" w:space="0" w:color="auto"/>
              <w:bottom w:val="single" w:sz="4" w:space="0" w:color="auto"/>
              <w:right w:val="single" w:sz="4" w:space="0" w:color="auto"/>
            </w:tcBorders>
          </w:tcPr>
          <w:p w14:paraId="49D78705" w14:textId="77777777" w:rsidR="006F5625" w:rsidRPr="00B567C9" w:rsidRDefault="00A64728" w:rsidP="007E7BB7">
            <w:pPr>
              <w:rPr>
                <w:sz w:val="16"/>
                <w:szCs w:val="16"/>
              </w:rPr>
            </w:pPr>
            <w:r>
              <w:rPr>
                <w:sz w:val="16"/>
                <w:szCs w:val="16"/>
              </w:rPr>
              <w:t xml:space="preserve">9.2.1.6.2;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Pr>
                <w:sz w:val="16"/>
                <w:szCs w:val="16"/>
              </w:rPr>
              <w:t xml:space="preserve"> </w:t>
            </w:r>
            <w:r>
              <w:rPr>
                <w:sz w:val="16"/>
                <w:szCs w:val="16"/>
              </w:rPr>
              <w:t xml:space="preserve"> (Ref no. 2.2.8-12)</w:t>
            </w:r>
          </w:p>
        </w:tc>
      </w:tr>
      <w:tr w:rsidR="00B84DCA" w14:paraId="0DF16D55" w14:textId="77777777" w:rsidTr="00AA2BF4">
        <w:tc>
          <w:tcPr>
            <w:tcW w:w="1203" w:type="dxa"/>
            <w:tcBorders>
              <w:top w:val="single" w:sz="4" w:space="0" w:color="auto"/>
              <w:left w:val="single" w:sz="4" w:space="0" w:color="auto"/>
              <w:bottom w:val="single" w:sz="4" w:space="0" w:color="auto"/>
              <w:right w:val="single" w:sz="4" w:space="0" w:color="auto"/>
            </w:tcBorders>
          </w:tcPr>
          <w:p w14:paraId="43A56A3E" w14:textId="77777777" w:rsidR="00B84DCA" w:rsidRPr="00A258EC" w:rsidRDefault="00B84DCA" w:rsidP="00B84DCA">
            <w:pPr>
              <w:rPr>
                <w:sz w:val="16"/>
                <w:szCs w:val="16"/>
              </w:rPr>
            </w:pPr>
            <w:r w:rsidRPr="00A258EC">
              <w:rPr>
                <w:sz w:val="16"/>
                <w:szCs w:val="16"/>
              </w:rPr>
              <w:lastRenderedPageBreak/>
              <w:t>OECD 202; not GLP; reliability 2</w:t>
            </w:r>
          </w:p>
        </w:tc>
        <w:tc>
          <w:tcPr>
            <w:tcW w:w="1246" w:type="dxa"/>
            <w:gridSpan w:val="2"/>
            <w:tcBorders>
              <w:top w:val="single" w:sz="4" w:space="0" w:color="auto"/>
              <w:left w:val="single" w:sz="4" w:space="0" w:color="auto"/>
              <w:bottom w:val="single" w:sz="4" w:space="0" w:color="auto"/>
              <w:right w:val="single" w:sz="4" w:space="0" w:color="auto"/>
            </w:tcBorders>
          </w:tcPr>
          <w:p w14:paraId="3BE994AE" w14:textId="77777777" w:rsidR="00B84DCA" w:rsidRPr="00A258EC" w:rsidRDefault="00B84DCA"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14:paraId="0AF9ADFB" w14:textId="77777777" w:rsidR="00B84DCA" w:rsidRPr="00A258EC" w:rsidRDefault="00B84DCA" w:rsidP="00B84DCA">
            <w:pPr>
              <w:rPr>
                <w:sz w:val="16"/>
                <w:szCs w:val="16"/>
              </w:rPr>
            </w:pPr>
            <w:r w:rsidRPr="00A258EC">
              <w:rPr>
                <w:sz w:val="16"/>
                <w:szCs w:val="16"/>
              </w:rPr>
              <w:t>Mobility</w:t>
            </w:r>
          </w:p>
        </w:tc>
        <w:tc>
          <w:tcPr>
            <w:tcW w:w="996" w:type="dxa"/>
            <w:gridSpan w:val="3"/>
            <w:tcBorders>
              <w:top w:val="single" w:sz="4" w:space="0" w:color="auto"/>
              <w:left w:val="single" w:sz="4" w:space="0" w:color="auto"/>
              <w:bottom w:val="single" w:sz="4" w:space="0" w:color="auto"/>
              <w:right w:val="single" w:sz="4" w:space="0" w:color="auto"/>
            </w:tcBorders>
          </w:tcPr>
          <w:p w14:paraId="279436B3" w14:textId="77777777" w:rsidR="00B84DCA" w:rsidRPr="00A258EC" w:rsidRDefault="00B84DCA" w:rsidP="00B84DCA">
            <w:pPr>
              <w:rPr>
                <w:sz w:val="16"/>
                <w:szCs w:val="16"/>
              </w:rPr>
            </w:pPr>
            <w:r w:rsidRPr="00A258EC">
              <w:rPr>
                <w:sz w:val="16"/>
                <w:szCs w:val="16"/>
              </w:rPr>
              <w:t>Static</w:t>
            </w:r>
          </w:p>
        </w:tc>
        <w:tc>
          <w:tcPr>
            <w:tcW w:w="854" w:type="dxa"/>
            <w:gridSpan w:val="3"/>
            <w:tcBorders>
              <w:top w:val="single" w:sz="4" w:space="0" w:color="auto"/>
              <w:left w:val="single" w:sz="4" w:space="0" w:color="auto"/>
              <w:bottom w:val="single" w:sz="4" w:space="0" w:color="auto"/>
              <w:right w:val="single" w:sz="4" w:space="0" w:color="auto"/>
            </w:tcBorders>
          </w:tcPr>
          <w:p w14:paraId="7C03338F" w14:textId="77777777" w:rsidR="00B84DCA" w:rsidRPr="00A258EC" w:rsidRDefault="00B84DCA" w:rsidP="00B84DCA">
            <w:pPr>
              <w:rPr>
                <w:sz w:val="16"/>
                <w:szCs w:val="16"/>
              </w:rPr>
            </w:pPr>
            <w:r w:rsidRPr="00A258EC">
              <w:rPr>
                <w:sz w:val="16"/>
                <w:szCs w:val="16"/>
              </w:rPr>
              <w:t>48h</w:t>
            </w:r>
          </w:p>
        </w:tc>
        <w:tc>
          <w:tcPr>
            <w:tcW w:w="583" w:type="dxa"/>
            <w:gridSpan w:val="2"/>
            <w:tcBorders>
              <w:top w:val="single" w:sz="4" w:space="0" w:color="auto"/>
              <w:left w:val="single" w:sz="4" w:space="0" w:color="auto"/>
              <w:bottom w:val="single" w:sz="4" w:space="0" w:color="auto"/>
              <w:right w:val="single" w:sz="4" w:space="0" w:color="auto"/>
            </w:tcBorders>
          </w:tcPr>
          <w:p w14:paraId="21DE008B" w14:textId="77777777"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14:paraId="5CC79741" w14:textId="77777777"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700292BE" w14:textId="77777777" w:rsidR="00B84DCA" w:rsidRPr="00131D42" w:rsidRDefault="00127A11" w:rsidP="00B84DCA">
            <w:pPr>
              <w:rPr>
                <w:sz w:val="16"/>
                <w:szCs w:val="16"/>
              </w:rPr>
            </w:pPr>
            <w:r>
              <w:rPr>
                <w:sz w:val="16"/>
                <w:szCs w:val="16"/>
              </w:rPr>
              <w:t>1015</w:t>
            </w:r>
          </w:p>
        </w:tc>
        <w:tc>
          <w:tcPr>
            <w:tcW w:w="1279" w:type="dxa"/>
            <w:tcBorders>
              <w:top w:val="single" w:sz="4" w:space="0" w:color="auto"/>
              <w:left w:val="single" w:sz="4" w:space="0" w:color="auto"/>
              <w:bottom w:val="single" w:sz="4" w:space="0" w:color="auto"/>
              <w:right w:val="single" w:sz="4" w:space="0" w:color="auto"/>
            </w:tcBorders>
          </w:tcPr>
          <w:p w14:paraId="2DC48613" w14:textId="77777777" w:rsidR="00B84DCA" w:rsidRPr="00131D42" w:rsidRDefault="00B84DCA" w:rsidP="00B84DCA">
            <w:pPr>
              <w:rPr>
                <w:sz w:val="16"/>
                <w:szCs w:val="16"/>
              </w:rPr>
            </w:pPr>
            <w:r w:rsidRPr="00131D42">
              <w:rPr>
                <w:sz w:val="16"/>
                <w:szCs w:val="16"/>
              </w:rPr>
              <w:t xml:space="preserve">Supporting study; read across benzoic acid; nominal  concentration of benzoic </w:t>
            </w:r>
            <w:proofErr w:type="spellStart"/>
            <w:r w:rsidRPr="00131D42">
              <w:rPr>
                <w:sz w:val="16"/>
                <w:szCs w:val="16"/>
              </w:rPr>
              <w:t>acid</w:t>
            </w:r>
            <w:r w:rsidR="00127A11" w:rsidRPr="00127A11">
              <w:rPr>
                <w:sz w:val="16"/>
                <w:szCs w:val="16"/>
                <w:vertAlign w:val="superscript"/>
              </w:rPr>
              <w:t>c</w:t>
            </w:r>
            <w:proofErr w:type="spellEnd"/>
          </w:p>
        </w:tc>
        <w:tc>
          <w:tcPr>
            <w:tcW w:w="1128" w:type="dxa"/>
            <w:tcBorders>
              <w:top w:val="single" w:sz="4" w:space="0" w:color="auto"/>
              <w:left w:val="single" w:sz="4" w:space="0" w:color="auto"/>
              <w:bottom w:val="single" w:sz="4" w:space="0" w:color="auto"/>
              <w:right w:val="single" w:sz="4" w:space="0" w:color="auto"/>
            </w:tcBorders>
          </w:tcPr>
          <w:p w14:paraId="675854E7" w14:textId="77777777" w:rsidR="006F5625" w:rsidRPr="006F5625" w:rsidRDefault="006F5625" w:rsidP="006F5625">
            <w:pPr>
              <w:rPr>
                <w:sz w:val="16"/>
                <w:szCs w:val="16"/>
              </w:rPr>
            </w:pPr>
            <w:r w:rsidRPr="006F5625">
              <w:rPr>
                <w:sz w:val="16"/>
                <w:szCs w:val="16"/>
              </w:rPr>
              <w:t xml:space="preserve">9.2.1.2; </w:t>
            </w:r>
          </w:p>
          <w:p w14:paraId="42BDFF21" w14:textId="77777777" w:rsidR="00B84DCA" w:rsidRPr="00B567C9" w:rsidRDefault="007E7BB7" w:rsidP="006F5625">
            <w:pPr>
              <w:rPr>
                <w:sz w:val="16"/>
                <w:szCs w:val="16"/>
              </w:rPr>
            </w:pPr>
            <w:proofErr w:type="spellStart"/>
            <w:r w:rsidRPr="002F4C58">
              <w:rPr>
                <w:rFonts w:eastAsia="Calibri"/>
                <w:highlight w:val="black"/>
              </w:rPr>
              <w:t>xxxxx</w:t>
            </w:r>
            <w:proofErr w:type="spellEnd"/>
            <w:r w:rsidRPr="006F5625">
              <w:rPr>
                <w:sz w:val="16"/>
                <w:szCs w:val="16"/>
              </w:rPr>
              <w:t xml:space="preserve"> </w:t>
            </w:r>
            <w:r w:rsidR="006F5625" w:rsidRPr="006F5625">
              <w:rPr>
                <w:sz w:val="16"/>
                <w:szCs w:val="16"/>
              </w:rPr>
              <w:t>(Ref. no. 2.2.8-5)</w:t>
            </w:r>
          </w:p>
        </w:tc>
      </w:tr>
      <w:tr w:rsidR="00B84DCA" w14:paraId="7E1E2CF7" w14:textId="77777777" w:rsidTr="00AA2BF4">
        <w:tc>
          <w:tcPr>
            <w:tcW w:w="1203" w:type="dxa"/>
            <w:tcBorders>
              <w:top w:val="single" w:sz="4" w:space="0" w:color="auto"/>
              <w:left w:val="single" w:sz="4" w:space="0" w:color="auto"/>
              <w:bottom w:val="single" w:sz="4" w:space="0" w:color="auto"/>
              <w:right w:val="single" w:sz="4" w:space="0" w:color="auto"/>
            </w:tcBorders>
            <w:vAlign w:val="center"/>
          </w:tcPr>
          <w:p w14:paraId="01FC0F47" w14:textId="77777777" w:rsidR="00B84DCA" w:rsidRPr="00A258EC" w:rsidRDefault="00B84DCA" w:rsidP="00B84DCA">
            <w:r w:rsidRPr="00A258EC">
              <w:rPr>
                <w:rFonts w:eastAsia="Calibri"/>
                <w:color w:val="000000"/>
                <w:sz w:val="16"/>
              </w:rPr>
              <w:t>OECD 202; not GLP; reliability 3</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3DE2CF84" w14:textId="77777777" w:rsidR="00B84DCA" w:rsidRPr="00A258EC" w:rsidRDefault="00B84DCA" w:rsidP="00B84DCA">
            <w:pPr>
              <w:jc w:val="center"/>
            </w:pPr>
            <w:r w:rsidRPr="00A258EC">
              <w:rPr>
                <w:i/>
                <w:color w:val="000000"/>
                <w:sz w:val="16"/>
              </w:rPr>
              <w:t>Daphnia magna</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FC1B0" w14:textId="77777777" w:rsidR="00B84DCA" w:rsidRPr="00A258EC" w:rsidRDefault="00B84DCA" w:rsidP="00B84DCA">
            <w:pPr>
              <w:jc w:val="center"/>
            </w:pPr>
            <w:r w:rsidRPr="00A258EC">
              <w:rPr>
                <w:rFonts w:eastAsia="Calibri"/>
                <w:color w:val="000000"/>
                <w:sz w:val="16"/>
              </w:rPr>
              <w:t>Mortality</w:t>
            </w:r>
          </w:p>
        </w:tc>
        <w:tc>
          <w:tcPr>
            <w:tcW w:w="996" w:type="dxa"/>
            <w:gridSpan w:val="3"/>
            <w:tcBorders>
              <w:top w:val="single" w:sz="4" w:space="0" w:color="auto"/>
              <w:left w:val="single" w:sz="4" w:space="0" w:color="auto"/>
              <w:bottom w:val="single" w:sz="4" w:space="0" w:color="auto"/>
              <w:right w:val="single" w:sz="4" w:space="0" w:color="auto"/>
            </w:tcBorders>
            <w:vAlign w:val="center"/>
          </w:tcPr>
          <w:p w14:paraId="45F65966" w14:textId="77777777" w:rsidR="00B84DCA" w:rsidRPr="00A258EC" w:rsidRDefault="00B84DCA" w:rsidP="00B84DCA">
            <w:pPr>
              <w:jc w:val="center"/>
            </w:pPr>
            <w:r w:rsidRPr="00A258EC">
              <w:rPr>
                <w:rFonts w:eastAsia="Calibri"/>
                <w:color w:val="000000"/>
                <w:sz w:val="16"/>
              </w:rPr>
              <w:t>Static</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6D07D71" w14:textId="77777777" w:rsidR="00B84DCA" w:rsidRPr="00A258EC" w:rsidRDefault="00B84DCA" w:rsidP="00B84DCA">
            <w:pPr>
              <w:jc w:val="center"/>
            </w:pPr>
            <w:r w:rsidRPr="00A258EC">
              <w:rPr>
                <w:rFonts w:eastAsia="Calibri"/>
                <w:color w:val="000000"/>
                <w:sz w:val="16"/>
              </w:rPr>
              <w:t>96h</w:t>
            </w: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5769144B" w14:textId="77777777" w:rsidR="00B84DCA" w:rsidRPr="00A258EC" w:rsidRDefault="00B84DCA" w:rsidP="00B84DCA">
            <w:pPr>
              <w:jc w:val="center"/>
            </w:pPr>
            <w:r w:rsidRPr="00A258EC">
              <w:rPr>
                <w:rFonts w:eastAsia="Calibri"/>
                <w:color w:val="000000"/>
                <w:sz w:val="16"/>
              </w:rPr>
              <w:t>-</w:t>
            </w:r>
          </w:p>
        </w:tc>
        <w:tc>
          <w:tcPr>
            <w:tcW w:w="426" w:type="dxa"/>
            <w:tcBorders>
              <w:top w:val="single" w:sz="4" w:space="0" w:color="auto"/>
              <w:left w:val="single" w:sz="4" w:space="0" w:color="auto"/>
              <w:bottom w:val="single" w:sz="4" w:space="0" w:color="auto"/>
              <w:right w:val="single" w:sz="4" w:space="0" w:color="auto"/>
            </w:tcBorders>
            <w:vAlign w:val="center"/>
          </w:tcPr>
          <w:p w14:paraId="753C5C95" w14:textId="77777777" w:rsidR="00B84DCA" w:rsidRPr="00A258EC" w:rsidRDefault="00B84DCA" w:rsidP="00B84DCA">
            <w:pPr>
              <w:jc w:val="center"/>
            </w:pPr>
            <w:r w:rsidRPr="00A258EC">
              <w:rPr>
                <w:rFonts w:eastAsia="Calibri"/>
                <w:color w:val="000000"/>
                <w:sz w:val="16"/>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B8AA14" w14:textId="77777777" w:rsidR="00B84DCA" w:rsidRPr="00131D42" w:rsidRDefault="00B84DCA" w:rsidP="00B84DCA">
            <w:pPr>
              <w:jc w:val="center"/>
            </w:pPr>
            <w:r w:rsidRPr="00131D42">
              <w:rPr>
                <w:rFonts w:eastAsia="Calibri"/>
                <w:color w:val="000000"/>
                <w:sz w:val="16"/>
              </w:rPr>
              <w:t>&gt;100</w:t>
            </w:r>
          </w:p>
        </w:tc>
        <w:tc>
          <w:tcPr>
            <w:tcW w:w="1279" w:type="dxa"/>
            <w:tcBorders>
              <w:top w:val="single" w:sz="4" w:space="0" w:color="auto"/>
              <w:left w:val="single" w:sz="4" w:space="0" w:color="auto"/>
              <w:bottom w:val="single" w:sz="4" w:space="0" w:color="auto"/>
              <w:right w:val="single" w:sz="4" w:space="0" w:color="auto"/>
            </w:tcBorders>
            <w:vAlign w:val="center"/>
          </w:tcPr>
          <w:p w14:paraId="7261951C" w14:textId="77777777" w:rsidR="00B84DCA" w:rsidRPr="00131D42" w:rsidRDefault="00B84DCA" w:rsidP="00B84DCA">
            <w:r w:rsidRPr="00131D42">
              <w:rPr>
                <w:rFonts w:eastAsia="Calibri"/>
                <w:color w:val="000000"/>
                <w:sz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14:paraId="24A236D4" w14:textId="77777777" w:rsidR="00B84DCA" w:rsidRPr="00B567C9" w:rsidRDefault="006F5625" w:rsidP="00B84DCA">
            <w:pPr>
              <w:rPr>
                <w:sz w:val="16"/>
                <w:szCs w:val="16"/>
              </w:rPr>
            </w:pPr>
            <w:r w:rsidRPr="006F5625">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6F5625">
              <w:rPr>
                <w:sz w:val="16"/>
                <w:szCs w:val="16"/>
              </w:rPr>
              <w:t xml:space="preserve"> </w:t>
            </w:r>
            <w:r w:rsidRPr="006F5625">
              <w:rPr>
                <w:sz w:val="16"/>
                <w:szCs w:val="16"/>
              </w:rPr>
              <w:t>(Ref. no. 2.2.8-2)</w:t>
            </w:r>
          </w:p>
        </w:tc>
      </w:tr>
      <w:tr w:rsidR="00B84DCA" w14:paraId="7557DB95" w14:textId="77777777" w:rsidTr="00AA2BF4">
        <w:tc>
          <w:tcPr>
            <w:tcW w:w="1203" w:type="dxa"/>
            <w:tcBorders>
              <w:top w:val="single" w:sz="4" w:space="0" w:color="auto"/>
              <w:left w:val="single" w:sz="4" w:space="0" w:color="auto"/>
              <w:bottom w:val="single" w:sz="4" w:space="0" w:color="auto"/>
              <w:right w:val="single" w:sz="4" w:space="0" w:color="auto"/>
            </w:tcBorders>
            <w:vAlign w:val="center"/>
          </w:tcPr>
          <w:p w14:paraId="66B00AA5" w14:textId="77777777" w:rsidR="00B84DCA" w:rsidRPr="00A258EC" w:rsidRDefault="00B84DCA" w:rsidP="00B84DCA">
            <w:r w:rsidRPr="00A258EC">
              <w:rPr>
                <w:rFonts w:eastAsia="Calibri"/>
                <w:color w:val="000000"/>
                <w:sz w:val="16"/>
              </w:rPr>
              <w:t>No guideline followed; not GLP; reliability 4</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0A955328" w14:textId="77777777" w:rsidR="00B84DCA" w:rsidRPr="00A258EC" w:rsidRDefault="00B84DCA" w:rsidP="00B84DCA">
            <w:pPr>
              <w:jc w:val="center"/>
            </w:pPr>
            <w:r w:rsidRPr="00A258EC">
              <w:rPr>
                <w:i/>
                <w:color w:val="000000"/>
                <w:sz w:val="16"/>
              </w:rPr>
              <w:t>Daphnia magna</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A3D8A3" w14:textId="77777777" w:rsidR="00B84DCA" w:rsidRPr="00A258EC" w:rsidRDefault="00B84DCA" w:rsidP="00B84DCA">
            <w:pPr>
              <w:jc w:val="center"/>
            </w:pPr>
            <w:r w:rsidRPr="00A258EC">
              <w:rPr>
                <w:rFonts w:eastAsia="Calibri"/>
                <w:color w:val="000000"/>
                <w:sz w:val="16"/>
              </w:rPr>
              <w:t>Mobility</w:t>
            </w:r>
          </w:p>
        </w:tc>
        <w:tc>
          <w:tcPr>
            <w:tcW w:w="996" w:type="dxa"/>
            <w:gridSpan w:val="3"/>
            <w:tcBorders>
              <w:top w:val="single" w:sz="4" w:space="0" w:color="auto"/>
              <w:left w:val="single" w:sz="4" w:space="0" w:color="auto"/>
              <w:bottom w:val="single" w:sz="4" w:space="0" w:color="auto"/>
              <w:right w:val="single" w:sz="4" w:space="0" w:color="auto"/>
            </w:tcBorders>
            <w:vAlign w:val="center"/>
          </w:tcPr>
          <w:p w14:paraId="31BA940C" w14:textId="77777777" w:rsidR="00B84DCA" w:rsidRPr="00A258EC" w:rsidRDefault="00B84DCA" w:rsidP="00B84DCA">
            <w:pPr>
              <w:jc w:val="center"/>
            </w:pPr>
            <w:r w:rsidRPr="00A258EC">
              <w:rPr>
                <w:rFonts w:eastAsia="Calibri"/>
                <w:color w:val="000000"/>
                <w:sz w:val="16"/>
              </w:rPr>
              <w:t>Not specified</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5DCE57FD" w14:textId="77777777" w:rsidR="00B84DCA" w:rsidRPr="00A258EC" w:rsidRDefault="00B84DCA" w:rsidP="00B84DCA">
            <w:pPr>
              <w:jc w:val="center"/>
            </w:pPr>
            <w:r w:rsidRPr="00A258EC">
              <w:rPr>
                <w:rFonts w:eastAsia="Calibri"/>
                <w:color w:val="000000"/>
                <w:sz w:val="16"/>
              </w:rPr>
              <w:t>48h</w:t>
            </w: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501277A0" w14:textId="77777777" w:rsidR="00B84DCA" w:rsidRPr="00A258EC" w:rsidRDefault="00B84DCA" w:rsidP="00B84DCA">
            <w:pPr>
              <w:jc w:val="center"/>
            </w:pPr>
            <w:r w:rsidRPr="00A258EC">
              <w:rPr>
                <w:rFonts w:eastAsia="Calibri"/>
                <w:color w:val="000000"/>
                <w:sz w:val="16"/>
              </w:rPr>
              <w:t>-</w:t>
            </w:r>
          </w:p>
        </w:tc>
        <w:tc>
          <w:tcPr>
            <w:tcW w:w="426" w:type="dxa"/>
            <w:tcBorders>
              <w:top w:val="single" w:sz="4" w:space="0" w:color="auto"/>
              <w:left w:val="single" w:sz="4" w:space="0" w:color="auto"/>
              <w:bottom w:val="single" w:sz="4" w:space="0" w:color="auto"/>
              <w:right w:val="single" w:sz="4" w:space="0" w:color="auto"/>
            </w:tcBorders>
            <w:vAlign w:val="center"/>
          </w:tcPr>
          <w:p w14:paraId="6F84127C" w14:textId="77777777" w:rsidR="00B84DCA" w:rsidRPr="00A258EC" w:rsidRDefault="00B84DCA" w:rsidP="00B84DCA">
            <w:pPr>
              <w:jc w:val="center"/>
            </w:pPr>
            <w:r w:rsidRPr="00A258EC">
              <w:rPr>
                <w:rFonts w:eastAsia="Calibri"/>
                <w:color w:val="000000"/>
                <w:sz w:val="16"/>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8C60553" w14:textId="77777777" w:rsidR="00B84DCA" w:rsidRPr="00131D42" w:rsidRDefault="00B84DCA" w:rsidP="00B84DCA">
            <w:pPr>
              <w:jc w:val="center"/>
            </w:pPr>
            <w:r w:rsidRPr="00131D42">
              <w:rPr>
                <w:rFonts w:eastAsia="Calibri"/>
                <w:color w:val="000000"/>
                <w:sz w:val="16"/>
              </w:rPr>
              <w:t>650</w:t>
            </w:r>
          </w:p>
        </w:tc>
        <w:tc>
          <w:tcPr>
            <w:tcW w:w="1279" w:type="dxa"/>
            <w:tcBorders>
              <w:top w:val="single" w:sz="4" w:space="0" w:color="auto"/>
              <w:left w:val="single" w:sz="4" w:space="0" w:color="auto"/>
              <w:bottom w:val="single" w:sz="4" w:space="0" w:color="auto"/>
              <w:right w:val="single" w:sz="4" w:space="0" w:color="auto"/>
            </w:tcBorders>
            <w:vAlign w:val="center"/>
          </w:tcPr>
          <w:p w14:paraId="1FC718BF" w14:textId="77777777" w:rsidR="00B84DCA" w:rsidRPr="00131D42" w:rsidRDefault="00B84DCA" w:rsidP="00B84DCA">
            <w:r w:rsidRPr="00131D42">
              <w:rPr>
                <w:rFonts w:eastAsia="Calibri"/>
                <w:color w:val="000000"/>
                <w:sz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14:paraId="340D17D3" w14:textId="77777777" w:rsidR="00B84DCA" w:rsidRPr="00B567C9" w:rsidRDefault="006F5625" w:rsidP="00B84DCA">
            <w:pPr>
              <w:rPr>
                <w:sz w:val="16"/>
                <w:szCs w:val="16"/>
              </w:rPr>
            </w:pPr>
            <w:r w:rsidRPr="006F5625">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6F5625">
              <w:rPr>
                <w:sz w:val="16"/>
                <w:szCs w:val="16"/>
              </w:rPr>
              <w:t xml:space="preserve"> </w:t>
            </w:r>
            <w:r w:rsidRPr="006F5625">
              <w:rPr>
                <w:sz w:val="16"/>
                <w:szCs w:val="16"/>
              </w:rPr>
              <w:t>(Ref. no. 2.2.8-6)</w:t>
            </w:r>
          </w:p>
        </w:tc>
      </w:tr>
      <w:tr w:rsidR="00B84DCA" w14:paraId="15A44D26" w14:textId="77777777" w:rsidTr="00B84DCA">
        <w:tc>
          <w:tcPr>
            <w:tcW w:w="9420" w:type="dxa"/>
            <w:gridSpan w:val="20"/>
            <w:tcBorders>
              <w:top w:val="single" w:sz="4" w:space="0" w:color="auto"/>
              <w:left w:val="single" w:sz="4" w:space="0" w:color="auto"/>
              <w:bottom w:val="single" w:sz="4" w:space="0" w:color="auto"/>
              <w:right w:val="single" w:sz="4" w:space="0" w:color="auto"/>
            </w:tcBorders>
          </w:tcPr>
          <w:p w14:paraId="468FCC7A" w14:textId="77777777" w:rsidR="00B84DCA" w:rsidRPr="00131D42" w:rsidRDefault="00B84DCA" w:rsidP="00B84DCA">
            <w:pPr>
              <w:spacing w:line="260" w:lineRule="atLeast"/>
              <w:rPr>
                <w:b/>
                <w:color w:val="000000"/>
              </w:rPr>
            </w:pPr>
            <w:r w:rsidRPr="00131D42">
              <w:rPr>
                <w:b/>
                <w:color w:val="000000"/>
              </w:rPr>
              <w:t>Algae</w:t>
            </w:r>
            <w:r w:rsidRPr="00131D42">
              <w:rPr>
                <w:b/>
                <w:color w:val="000000"/>
              </w:rPr>
              <w:tab/>
            </w:r>
          </w:p>
        </w:tc>
      </w:tr>
      <w:tr w:rsidR="00B84DCA" w14:paraId="288DD1BB" w14:textId="77777777" w:rsidTr="00AA2BF4">
        <w:tc>
          <w:tcPr>
            <w:tcW w:w="1203" w:type="dxa"/>
            <w:tcBorders>
              <w:top w:val="single" w:sz="4" w:space="0" w:color="auto"/>
              <w:left w:val="single" w:sz="4" w:space="0" w:color="auto"/>
              <w:bottom w:val="single" w:sz="4" w:space="0" w:color="auto"/>
              <w:right w:val="single" w:sz="4" w:space="0" w:color="auto"/>
            </w:tcBorders>
          </w:tcPr>
          <w:p w14:paraId="5B3062B3" w14:textId="77777777" w:rsidR="00B84DCA" w:rsidRPr="00A258EC" w:rsidRDefault="00B84DCA" w:rsidP="00B84DCA">
            <w:pPr>
              <w:rPr>
                <w:sz w:val="16"/>
                <w:szCs w:val="16"/>
              </w:rPr>
            </w:pPr>
            <w:r w:rsidRPr="00A258EC">
              <w:rPr>
                <w:sz w:val="16"/>
                <w:szCs w:val="16"/>
              </w:rPr>
              <w:t>OECD 201; GLP; reliability 2</w:t>
            </w:r>
          </w:p>
        </w:tc>
        <w:tc>
          <w:tcPr>
            <w:tcW w:w="1246" w:type="dxa"/>
            <w:gridSpan w:val="2"/>
            <w:tcBorders>
              <w:top w:val="single" w:sz="4" w:space="0" w:color="auto"/>
              <w:left w:val="single" w:sz="4" w:space="0" w:color="auto"/>
              <w:bottom w:val="single" w:sz="4" w:space="0" w:color="auto"/>
              <w:right w:val="single" w:sz="4" w:space="0" w:color="auto"/>
            </w:tcBorders>
          </w:tcPr>
          <w:p w14:paraId="6A475A32" w14:textId="77777777" w:rsidR="00B84DCA" w:rsidRPr="00A258EC" w:rsidRDefault="00B84DCA" w:rsidP="00B84DCA">
            <w:pPr>
              <w:rPr>
                <w:i/>
                <w:sz w:val="16"/>
                <w:szCs w:val="16"/>
              </w:rPr>
            </w:pPr>
            <w:proofErr w:type="spellStart"/>
            <w:r w:rsidRPr="00A258EC">
              <w:rPr>
                <w:i/>
                <w:sz w:val="16"/>
                <w:szCs w:val="16"/>
              </w:rPr>
              <w:t>Pseudokirchneriella</w:t>
            </w:r>
            <w:proofErr w:type="spellEnd"/>
            <w:r w:rsidRPr="00A258EC">
              <w:rPr>
                <w:i/>
                <w:sz w:val="16"/>
                <w:szCs w:val="16"/>
              </w:rPr>
              <w:t xml:space="preserve"> </w:t>
            </w:r>
            <w:proofErr w:type="spellStart"/>
            <w:r w:rsidRPr="00A258EC">
              <w:rPr>
                <w:i/>
                <w:sz w:val="16"/>
                <w:szCs w:val="16"/>
              </w:rPr>
              <w:t>subcapitata</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14:paraId="4E5C22F4" w14:textId="77777777" w:rsidR="00B84DCA" w:rsidRPr="00A258EC" w:rsidRDefault="00B84DCA" w:rsidP="00B84DCA">
            <w:pPr>
              <w:rPr>
                <w:sz w:val="16"/>
                <w:szCs w:val="16"/>
              </w:rPr>
            </w:pPr>
            <w:r w:rsidRPr="00A258EC">
              <w:rPr>
                <w:sz w:val="16"/>
                <w:szCs w:val="16"/>
              </w:rPr>
              <w:t>Growth rate</w:t>
            </w:r>
          </w:p>
        </w:tc>
        <w:tc>
          <w:tcPr>
            <w:tcW w:w="996" w:type="dxa"/>
            <w:gridSpan w:val="3"/>
            <w:tcBorders>
              <w:top w:val="single" w:sz="4" w:space="0" w:color="auto"/>
              <w:left w:val="single" w:sz="4" w:space="0" w:color="auto"/>
              <w:bottom w:val="single" w:sz="4" w:space="0" w:color="auto"/>
              <w:right w:val="single" w:sz="4" w:space="0" w:color="auto"/>
            </w:tcBorders>
          </w:tcPr>
          <w:p w14:paraId="3FB5CEF8" w14:textId="77777777" w:rsidR="00B84DCA" w:rsidRPr="00A258EC" w:rsidRDefault="00B84DCA" w:rsidP="00B84DCA">
            <w:pPr>
              <w:rPr>
                <w:sz w:val="16"/>
                <w:szCs w:val="16"/>
              </w:rPr>
            </w:pPr>
            <w:r w:rsidRPr="00A258EC">
              <w:rPr>
                <w:sz w:val="16"/>
                <w:szCs w:val="16"/>
              </w:rPr>
              <w:t>Static</w:t>
            </w:r>
          </w:p>
        </w:tc>
        <w:tc>
          <w:tcPr>
            <w:tcW w:w="854" w:type="dxa"/>
            <w:gridSpan w:val="3"/>
            <w:tcBorders>
              <w:top w:val="single" w:sz="4" w:space="0" w:color="auto"/>
              <w:left w:val="single" w:sz="4" w:space="0" w:color="auto"/>
              <w:bottom w:val="single" w:sz="4" w:space="0" w:color="auto"/>
              <w:right w:val="single" w:sz="4" w:space="0" w:color="auto"/>
            </w:tcBorders>
          </w:tcPr>
          <w:p w14:paraId="3CD1E240" w14:textId="77777777" w:rsidR="00B84DCA" w:rsidRPr="00A258EC" w:rsidRDefault="00B84DCA" w:rsidP="00B84DCA">
            <w:pPr>
              <w:rPr>
                <w:sz w:val="16"/>
                <w:szCs w:val="16"/>
              </w:rPr>
            </w:pPr>
            <w:r w:rsidRPr="00A258EC">
              <w:rPr>
                <w:sz w:val="16"/>
                <w:szCs w:val="16"/>
              </w:rPr>
              <w:t>72h</w:t>
            </w:r>
          </w:p>
        </w:tc>
        <w:tc>
          <w:tcPr>
            <w:tcW w:w="583" w:type="dxa"/>
            <w:gridSpan w:val="2"/>
            <w:tcBorders>
              <w:top w:val="single" w:sz="4" w:space="0" w:color="auto"/>
              <w:left w:val="single" w:sz="4" w:space="0" w:color="auto"/>
              <w:bottom w:val="single" w:sz="4" w:space="0" w:color="auto"/>
              <w:right w:val="single" w:sz="4" w:space="0" w:color="auto"/>
            </w:tcBorders>
          </w:tcPr>
          <w:p w14:paraId="5AE18924" w14:textId="77777777"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14:paraId="19570664" w14:textId="77777777"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3A9CFBC7" w14:textId="77777777" w:rsidR="00B84DCA" w:rsidRPr="00131D42" w:rsidRDefault="00B84DCA" w:rsidP="00B84DCA">
            <w:pPr>
              <w:rPr>
                <w:b/>
                <w:sz w:val="16"/>
                <w:szCs w:val="16"/>
              </w:rPr>
            </w:pPr>
            <w:r w:rsidRPr="00131D42">
              <w:rPr>
                <w:b/>
                <w:sz w:val="16"/>
                <w:szCs w:val="16"/>
              </w:rPr>
              <w:t>&gt;30.5</w:t>
            </w:r>
          </w:p>
        </w:tc>
        <w:tc>
          <w:tcPr>
            <w:tcW w:w="1279" w:type="dxa"/>
            <w:tcBorders>
              <w:top w:val="single" w:sz="4" w:space="0" w:color="auto"/>
              <w:left w:val="single" w:sz="4" w:space="0" w:color="auto"/>
              <w:bottom w:val="single" w:sz="4" w:space="0" w:color="auto"/>
              <w:right w:val="single" w:sz="4" w:space="0" w:color="auto"/>
            </w:tcBorders>
          </w:tcPr>
          <w:p w14:paraId="3373C5C7" w14:textId="77777777" w:rsidR="00B84DCA" w:rsidRPr="00131D42" w:rsidRDefault="00B84DCA" w:rsidP="00B84DCA">
            <w:pPr>
              <w:rPr>
                <w:sz w:val="16"/>
                <w:szCs w:val="16"/>
              </w:rPr>
            </w:pPr>
            <w:r w:rsidRPr="00131D42">
              <w:rPr>
                <w:sz w:val="16"/>
                <w:szCs w:val="16"/>
              </w:rPr>
              <w:t xml:space="preserve">Key study; TWA  concentration of sodium </w:t>
            </w:r>
            <w:proofErr w:type="spellStart"/>
            <w:r w:rsidRPr="00131D42">
              <w:rPr>
                <w:sz w:val="16"/>
                <w:szCs w:val="16"/>
              </w:rPr>
              <w:t>benzoate</w:t>
            </w:r>
            <w:r w:rsidR="00127A11">
              <w:rPr>
                <w:sz w:val="16"/>
                <w:szCs w:val="16"/>
                <w:vertAlign w:val="superscript"/>
              </w:rPr>
              <w:t>e</w:t>
            </w:r>
            <w:proofErr w:type="spellEnd"/>
          </w:p>
        </w:tc>
        <w:tc>
          <w:tcPr>
            <w:tcW w:w="1128" w:type="dxa"/>
            <w:tcBorders>
              <w:top w:val="single" w:sz="4" w:space="0" w:color="auto"/>
              <w:left w:val="single" w:sz="4" w:space="0" w:color="auto"/>
              <w:bottom w:val="single" w:sz="4" w:space="0" w:color="auto"/>
              <w:right w:val="single" w:sz="4" w:space="0" w:color="auto"/>
            </w:tcBorders>
          </w:tcPr>
          <w:p w14:paraId="7B773DE1" w14:textId="77777777" w:rsidR="00B84DCA" w:rsidRPr="00A258EC" w:rsidRDefault="00B84DCA" w:rsidP="00B84DCA">
            <w:pPr>
              <w:rPr>
                <w:sz w:val="16"/>
                <w:szCs w:val="16"/>
              </w:rPr>
            </w:pPr>
            <w:r w:rsidRPr="00A258EC">
              <w:rPr>
                <w:sz w:val="16"/>
                <w:szCs w:val="16"/>
              </w:rPr>
              <w:t xml:space="preserve">9.2.1.3;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2.2.8-7)</w:t>
            </w:r>
          </w:p>
        </w:tc>
      </w:tr>
      <w:tr w:rsidR="00B84DCA" w14:paraId="03451F4C" w14:textId="77777777" w:rsidTr="00B84DCA">
        <w:tc>
          <w:tcPr>
            <w:tcW w:w="9420" w:type="dxa"/>
            <w:gridSpan w:val="20"/>
            <w:tcBorders>
              <w:top w:val="single" w:sz="4" w:space="0" w:color="auto"/>
              <w:left w:val="single" w:sz="4" w:space="0" w:color="auto"/>
              <w:bottom w:val="single" w:sz="4" w:space="0" w:color="auto"/>
              <w:right w:val="single" w:sz="4" w:space="0" w:color="auto"/>
            </w:tcBorders>
          </w:tcPr>
          <w:p w14:paraId="63B3C979" w14:textId="77777777" w:rsidR="00B84DCA" w:rsidRPr="00131D42" w:rsidRDefault="00B84DCA" w:rsidP="00B84DCA">
            <w:pPr>
              <w:spacing w:line="260" w:lineRule="atLeast"/>
              <w:rPr>
                <w:b/>
                <w:color w:val="000000"/>
              </w:rPr>
            </w:pPr>
            <w:r w:rsidRPr="00131D42">
              <w:rPr>
                <w:b/>
                <w:color w:val="000000"/>
              </w:rPr>
              <w:t>Microorganisms</w:t>
            </w:r>
          </w:p>
        </w:tc>
      </w:tr>
      <w:tr w:rsidR="00B84DCA" w:rsidRPr="002F4C58" w14:paraId="78F7F0E5" w14:textId="77777777" w:rsidTr="00AA2BF4">
        <w:tc>
          <w:tcPr>
            <w:tcW w:w="1203" w:type="dxa"/>
            <w:tcBorders>
              <w:top w:val="single" w:sz="4" w:space="0" w:color="auto"/>
              <w:left w:val="single" w:sz="4" w:space="0" w:color="auto"/>
              <w:bottom w:val="single" w:sz="4" w:space="0" w:color="auto"/>
              <w:right w:val="single" w:sz="4" w:space="0" w:color="auto"/>
            </w:tcBorders>
          </w:tcPr>
          <w:p w14:paraId="0DCE4F26" w14:textId="77777777" w:rsidR="00B84DCA" w:rsidRPr="00A258EC" w:rsidRDefault="00B84DCA" w:rsidP="00B84DCA">
            <w:pPr>
              <w:rPr>
                <w:sz w:val="16"/>
                <w:szCs w:val="16"/>
              </w:rPr>
            </w:pPr>
            <w:r w:rsidRPr="00A258EC">
              <w:rPr>
                <w:sz w:val="16"/>
                <w:szCs w:val="16"/>
              </w:rPr>
              <w:t>OECD 209; not GLP; reliability 2</w:t>
            </w:r>
          </w:p>
        </w:tc>
        <w:tc>
          <w:tcPr>
            <w:tcW w:w="1270" w:type="dxa"/>
            <w:gridSpan w:val="3"/>
            <w:tcBorders>
              <w:top w:val="single" w:sz="4" w:space="0" w:color="auto"/>
              <w:left w:val="single" w:sz="4" w:space="0" w:color="auto"/>
              <w:bottom w:val="single" w:sz="4" w:space="0" w:color="auto"/>
              <w:right w:val="single" w:sz="4" w:space="0" w:color="auto"/>
            </w:tcBorders>
          </w:tcPr>
          <w:p w14:paraId="3EBF228C" w14:textId="77777777" w:rsidR="00B84DCA" w:rsidRPr="00A258EC" w:rsidRDefault="00B84DCA" w:rsidP="00B84DCA">
            <w:pPr>
              <w:rPr>
                <w:sz w:val="16"/>
                <w:szCs w:val="16"/>
              </w:rPr>
            </w:pPr>
            <w:r w:rsidRPr="00A258EC">
              <w:rPr>
                <w:sz w:val="16"/>
                <w:szCs w:val="16"/>
              </w:rPr>
              <w:t>Activated sludge</w:t>
            </w:r>
          </w:p>
        </w:tc>
        <w:tc>
          <w:tcPr>
            <w:tcW w:w="851" w:type="dxa"/>
            <w:gridSpan w:val="3"/>
            <w:tcBorders>
              <w:top w:val="single" w:sz="4" w:space="0" w:color="auto"/>
              <w:left w:val="single" w:sz="4" w:space="0" w:color="auto"/>
              <w:bottom w:val="single" w:sz="4" w:space="0" w:color="auto"/>
              <w:right w:val="single" w:sz="4" w:space="0" w:color="auto"/>
            </w:tcBorders>
          </w:tcPr>
          <w:p w14:paraId="459D391D" w14:textId="77777777" w:rsidR="00B84DCA" w:rsidRPr="00A258EC" w:rsidRDefault="00B84DCA" w:rsidP="00B84DCA">
            <w:pPr>
              <w:rPr>
                <w:sz w:val="16"/>
                <w:szCs w:val="16"/>
              </w:rPr>
            </w:pPr>
            <w:r w:rsidRPr="00A258EC">
              <w:rPr>
                <w:sz w:val="16"/>
                <w:szCs w:val="16"/>
              </w:rPr>
              <w:t>Respiration inhibition</w:t>
            </w:r>
          </w:p>
        </w:tc>
        <w:tc>
          <w:tcPr>
            <w:tcW w:w="992" w:type="dxa"/>
            <w:gridSpan w:val="3"/>
            <w:tcBorders>
              <w:top w:val="single" w:sz="4" w:space="0" w:color="auto"/>
              <w:left w:val="single" w:sz="4" w:space="0" w:color="auto"/>
              <w:bottom w:val="single" w:sz="4" w:space="0" w:color="auto"/>
              <w:right w:val="single" w:sz="4" w:space="0" w:color="auto"/>
            </w:tcBorders>
          </w:tcPr>
          <w:p w14:paraId="3BA4E8B9" w14:textId="77777777" w:rsidR="00B84DCA" w:rsidRPr="00A258EC" w:rsidRDefault="00B84DCA" w:rsidP="00B84DCA">
            <w:pPr>
              <w:rPr>
                <w:sz w:val="16"/>
                <w:szCs w:val="16"/>
              </w:rPr>
            </w:pPr>
            <w:r w:rsidRPr="00A258EC">
              <w:rPr>
                <w:sz w:val="16"/>
                <w:szCs w:val="16"/>
              </w:rPr>
              <w:t>Static</w:t>
            </w:r>
          </w:p>
        </w:tc>
        <w:tc>
          <w:tcPr>
            <w:tcW w:w="850" w:type="dxa"/>
            <w:gridSpan w:val="3"/>
            <w:tcBorders>
              <w:top w:val="single" w:sz="4" w:space="0" w:color="auto"/>
              <w:left w:val="single" w:sz="4" w:space="0" w:color="auto"/>
              <w:bottom w:val="single" w:sz="4" w:space="0" w:color="auto"/>
              <w:right w:val="single" w:sz="4" w:space="0" w:color="auto"/>
            </w:tcBorders>
          </w:tcPr>
          <w:p w14:paraId="4080DD38" w14:textId="77777777" w:rsidR="00B84DCA" w:rsidRPr="00A258EC" w:rsidRDefault="00B84DCA" w:rsidP="00B84DCA">
            <w:pPr>
              <w:rPr>
                <w:sz w:val="16"/>
                <w:szCs w:val="16"/>
              </w:rPr>
            </w:pPr>
            <w:r w:rsidRPr="00A258EC">
              <w:rPr>
                <w:sz w:val="16"/>
                <w:szCs w:val="16"/>
              </w:rPr>
              <w:t>3h</w:t>
            </w:r>
          </w:p>
        </w:tc>
        <w:tc>
          <w:tcPr>
            <w:tcW w:w="571" w:type="dxa"/>
            <w:tcBorders>
              <w:top w:val="single" w:sz="4" w:space="0" w:color="auto"/>
              <w:left w:val="single" w:sz="4" w:space="0" w:color="auto"/>
              <w:bottom w:val="single" w:sz="4" w:space="0" w:color="auto"/>
              <w:right w:val="single" w:sz="4" w:space="0" w:color="auto"/>
            </w:tcBorders>
          </w:tcPr>
          <w:p w14:paraId="2AB38948" w14:textId="77777777"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14:paraId="44A66420" w14:textId="77777777"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3E5BF8B7" w14:textId="77777777" w:rsidR="00B84DCA" w:rsidRPr="00131D42" w:rsidRDefault="00070C43" w:rsidP="00B84DCA">
            <w:pPr>
              <w:rPr>
                <w:b/>
                <w:sz w:val="16"/>
                <w:szCs w:val="16"/>
              </w:rPr>
            </w:pPr>
            <w:r>
              <w:rPr>
                <w:b/>
                <w:sz w:val="16"/>
                <w:szCs w:val="16"/>
              </w:rPr>
              <w:t>&gt;1180</w:t>
            </w:r>
          </w:p>
        </w:tc>
        <w:tc>
          <w:tcPr>
            <w:tcW w:w="1279" w:type="dxa"/>
            <w:tcBorders>
              <w:top w:val="single" w:sz="4" w:space="0" w:color="auto"/>
              <w:left w:val="single" w:sz="4" w:space="0" w:color="auto"/>
              <w:bottom w:val="single" w:sz="4" w:space="0" w:color="auto"/>
              <w:right w:val="single" w:sz="4" w:space="0" w:color="auto"/>
            </w:tcBorders>
          </w:tcPr>
          <w:p w14:paraId="69615D32" w14:textId="77777777" w:rsidR="00B84DCA" w:rsidRPr="00131D42" w:rsidRDefault="00B84DCA" w:rsidP="00127A11">
            <w:pPr>
              <w:rPr>
                <w:sz w:val="16"/>
                <w:szCs w:val="16"/>
              </w:rPr>
            </w:pPr>
            <w:r w:rsidRPr="00131D42">
              <w:rPr>
                <w:sz w:val="16"/>
                <w:szCs w:val="16"/>
              </w:rPr>
              <w:t xml:space="preserve">Key study; read-across benzoic acid; nominal concentration of benzoic </w:t>
            </w:r>
            <w:proofErr w:type="spellStart"/>
            <w:r w:rsidRPr="00131D42">
              <w:rPr>
                <w:sz w:val="16"/>
                <w:szCs w:val="16"/>
              </w:rPr>
              <w:t>acid</w:t>
            </w:r>
            <w:r w:rsidR="00127A11">
              <w:rPr>
                <w:sz w:val="16"/>
                <w:szCs w:val="16"/>
                <w:vertAlign w:val="superscript"/>
              </w:rPr>
              <w:t>c,f</w:t>
            </w:r>
            <w:proofErr w:type="spellEnd"/>
          </w:p>
        </w:tc>
        <w:tc>
          <w:tcPr>
            <w:tcW w:w="1128" w:type="dxa"/>
            <w:tcBorders>
              <w:top w:val="single" w:sz="4" w:space="0" w:color="auto"/>
              <w:left w:val="single" w:sz="4" w:space="0" w:color="auto"/>
              <w:bottom w:val="single" w:sz="4" w:space="0" w:color="auto"/>
              <w:right w:val="single" w:sz="4" w:space="0" w:color="auto"/>
            </w:tcBorders>
          </w:tcPr>
          <w:p w14:paraId="57412366" w14:textId="77777777" w:rsidR="00B84DCA" w:rsidRPr="007D5A8C" w:rsidRDefault="00B84DCA" w:rsidP="00B84DCA">
            <w:pPr>
              <w:rPr>
                <w:sz w:val="16"/>
                <w:szCs w:val="16"/>
                <w:lang w:val="nl-NL"/>
              </w:rPr>
            </w:pPr>
            <w:r w:rsidRPr="007D5A8C">
              <w:rPr>
                <w:sz w:val="16"/>
                <w:szCs w:val="16"/>
                <w:lang w:val="nl-NL"/>
              </w:rPr>
              <w:t xml:space="preserve">9.2.1.5;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7D5A8C">
              <w:rPr>
                <w:sz w:val="16"/>
                <w:szCs w:val="16"/>
                <w:lang w:val="nl-NL"/>
              </w:rPr>
              <w:t xml:space="preserve"> </w:t>
            </w:r>
            <w:r w:rsidRPr="007D5A8C">
              <w:rPr>
                <w:sz w:val="16"/>
                <w:szCs w:val="16"/>
                <w:lang w:val="nl-NL"/>
              </w:rPr>
              <w:t>(Ref. no. 2.2.8-8)</w:t>
            </w:r>
          </w:p>
        </w:tc>
      </w:tr>
      <w:tr w:rsidR="00B84DCA" w14:paraId="2A46E8B2" w14:textId="77777777" w:rsidTr="00AA2BF4">
        <w:tc>
          <w:tcPr>
            <w:tcW w:w="1203" w:type="dxa"/>
            <w:tcBorders>
              <w:top w:val="single" w:sz="4" w:space="0" w:color="auto"/>
              <w:left w:val="single" w:sz="4" w:space="0" w:color="auto"/>
              <w:bottom w:val="single" w:sz="4" w:space="0" w:color="auto"/>
              <w:right w:val="single" w:sz="4" w:space="0" w:color="auto"/>
            </w:tcBorders>
          </w:tcPr>
          <w:p w14:paraId="5AE17029" w14:textId="77777777" w:rsidR="00B84DCA" w:rsidRPr="00A258EC" w:rsidRDefault="00B84DCA" w:rsidP="00B84DCA">
            <w:pPr>
              <w:rPr>
                <w:sz w:val="16"/>
                <w:szCs w:val="16"/>
              </w:rPr>
            </w:pPr>
            <w:r w:rsidRPr="00A258EC">
              <w:rPr>
                <w:sz w:val="16"/>
                <w:szCs w:val="16"/>
              </w:rPr>
              <w:t>No guideline followed; not GLP; reliability 4</w:t>
            </w:r>
          </w:p>
        </w:tc>
        <w:tc>
          <w:tcPr>
            <w:tcW w:w="1270" w:type="dxa"/>
            <w:gridSpan w:val="3"/>
            <w:tcBorders>
              <w:top w:val="single" w:sz="4" w:space="0" w:color="auto"/>
              <w:left w:val="single" w:sz="4" w:space="0" w:color="auto"/>
              <w:bottom w:val="single" w:sz="4" w:space="0" w:color="auto"/>
              <w:right w:val="single" w:sz="4" w:space="0" w:color="auto"/>
            </w:tcBorders>
          </w:tcPr>
          <w:p w14:paraId="1598AF30" w14:textId="77777777" w:rsidR="00B84DCA" w:rsidRPr="00A258EC" w:rsidRDefault="00B84DCA" w:rsidP="00B84DCA">
            <w:pPr>
              <w:rPr>
                <w:sz w:val="16"/>
                <w:szCs w:val="16"/>
              </w:rPr>
            </w:pPr>
            <w:proofErr w:type="spellStart"/>
            <w:r w:rsidRPr="00A258EC">
              <w:rPr>
                <w:i/>
                <w:sz w:val="16"/>
                <w:szCs w:val="16"/>
              </w:rPr>
              <w:t>Achromobacter</w:t>
            </w:r>
            <w:proofErr w:type="spellEnd"/>
            <w:r w:rsidRPr="00A258EC">
              <w:rPr>
                <w:sz w:val="16"/>
                <w:szCs w:val="16"/>
              </w:rPr>
              <w:t xml:space="preserve"> sp.</w:t>
            </w:r>
          </w:p>
        </w:tc>
        <w:tc>
          <w:tcPr>
            <w:tcW w:w="851" w:type="dxa"/>
            <w:gridSpan w:val="3"/>
            <w:tcBorders>
              <w:top w:val="single" w:sz="4" w:space="0" w:color="auto"/>
              <w:left w:val="single" w:sz="4" w:space="0" w:color="auto"/>
              <w:bottom w:val="single" w:sz="4" w:space="0" w:color="auto"/>
              <w:right w:val="single" w:sz="4" w:space="0" w:color="auto"/>
            </w:tcBorders>
          </w:tcPr>
          <w:p w14:paraId="1D857332" w14:textId="77777777" w:rsidR="00B84DCA" w:rsidRPr="00A258EC" w:rsidRDefault="00B84DCA" w:rsidP="00B84DCA">
            <w:pPr>
              <w:rPr>
                <w:sz w:val="16"/>
                <w:szCs w:val="16"/>
              </w:rPr>
            </w:pPr>
            <w:r w:rsidRPr="00A258EC">
              <w:rPr>
                <w:sz w:val="16"/>
                <w:szCs w:val="16"/>
              </w:rPr>
              <w:t>Growth inhibition</w:t>
            </w:r>
          </w:p>
        </w:tc>
        <w:tc>
          <w:tcPr>
            <w:tcW w:w="992" w:type="dxa"/>
            <w:gridSpan w:val="3"/>
            <w:tcBorders>
              <w:top w:val="single" w:sz="4" w:space="0" w:color="auto"/>
              <w:left w:val="single" w:sz="4" w:space="0" w:color="auto"/>
              <w:bottom w:val="single" w:sz="4" w:space="0" w:color="auto"/>
              <w:right w:val="single" w:sz="4" w:space="0" w:color="auto"/>
            </w:tcBorders>
          </w:tcPr>
          <w:p w14:paraId="23A105D4" w14:textId="77777777" w:rsidR="00B84DCA" w:rsidRPr="00A258EC" w:rsidRDefault="00B84DCA" w:rsidP="00B84DCA">
            <w:pPr>
              <w:rPr>
                <w:sz w:val="16"/>
                <w:szCs w:val="16"/>
              </w:rPr>
            </w:pPr>
            <w:r w:rsidRPr="00A258EC">
              <w:rPr>
                <w:sz w:val="16"/>
                <w:szCs w:val="16"/>
              </w:rPr>
              <w:t>Not specified</w:t>
            </w:r>
          </w:p>
        </w:tc>
        <w:tc>
          <w:tcPr>
            <w:tcW w:w="850" w:type="dxa"/>
            <w:gridSpan w:val="3"/>
            <w:tcBorders>
              <w:top w:val="single" w:sz="4" w:space="0" w:color="auto"/>
              <w:left w:val="single" w:sz="4" w:space="0" w:color="auto"/>
              <w:bottom w:val="single" w:sz="4" w:space="0" w:color="auto"/>
              <w:right w:val="single" w:sz="4" w:space="0" w:color="auto"/>
            </w:tcBorders>
          </w:tcPr>
          <w:p w14:paraId="7369667C" w14:textId="77777777" w:rsidR="00B84DCA" w:rsidRPr="00A258EC" w:rsidRDefault="00B84DCA" w:rsidP="00B84DCA">
            <w:pPr>
              <w:rPr>
                <w:sz w:val="16"/>
                <w:szCs w:val="16"/>
              </w:rPr>
            </w:pPr>
            <w:r w:rsidRPr="00A258EC">
              <w:rPr>
                <w:sz w:val="16"/>
                <w:szCs w:val="16"/>
              </w:rPr>
              <w:t>168h</w:t>
            </w:r>
          </w:p>
        </w:tc>
        <w:tc>
          <w:tcPr>
            <w:tcW w:w="571" w:type="dxa"/>
            <w:tcBorders>
              <w:top w:val="single" w:sz="4" w:space="0" w:color="auto"/>
              <w:left w:val="single" w:sz="4" w:space="0" w:color="auto"/>
              <w:bottom w:val="single" w:sz="4" w:space="0" w:color="auto"/>
              <w:right w:val="single" w:sz="4" w:space="0" w:color="auto"/>
            </w:tcBorders>
          </w:tcPr>
          <w:p w14:paraId="2D8DA666" w14:textId="77777777"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14:paraId="2E355A91" w14:textId="77777777"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14:paraId="4FE03967" w14:textId="77777777" w:rsidR="00B84DCA" w:rsidRPr="00A258EC" w:rsidRDefault="00B84DCA" w:rsidP="00B84DCA">
            <w:pPr>
              <w:rPr>
                <w:sz w:val="16"/>
                <w:szCs w:val="16"/>
              </w:rPr>
            </w:pPr>
            <w:r w:rsidRPr="00A258EC">
              <w:rPr>
                <w:sz w:val="16"/>
                <w:szCs w:val="16"/>
              </w:rPr>
              <w:t>&gt;100</w:t>
            </w:r>
          </w:p>
        </w:tc>
        <w:tc>
          <w:tcPr>
            <w:tcW w:w="1279" w:type="dxa"/>
            <w:tcBorders>
              <w:top w:val="single" w:sz="4" w:space="0" w:color="auto"/>
              <w:left w:val="single" w:sz="4" w:space="0" w:color="auto"/>
              <w:bottom w:val="single" w:sz="4" w:space="0" w:color="auto"/>
              <w:right w:val="single" w:sz="4" w:space="0" w:color="auto"/>
            </w:tcBorders>
          </w:tcPr>
          <w:p w14:paraId="6806FE41" w14:textId="77777777"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14:paraId="6F54FBA5" w14:textId="77777777" w:rsidR="00B84DCA" w:rsidRPr="00A258EC" w:rsidRDefault="00B84DCA" w:rsidP="00B84DCA">
            <w:pPr>
              <w:rPr>
                <w:sz w:val="16"/>
                <w:szCs w:val="16"/>
              </w:rPr>
            </w:pPr>
            <w:r w:rsidRPr="00A258EC">
              <w:rPr>
                <w:sz w:val="16"/>
                <w:szCs w:val="16"/>
              </w:rPr>
              <w:t xml:space="preserve">9.2.1.5;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2.2.8-9)</w:t>
            </w:r>
          </w:p>
        </w:tc>
      </w:tr>
    </w:tbl>
    <w:p w14:paraId="7D59C2F6" w14:textId="77777777" w:rsidR="00B84DCA" w:rsidRDefault="00B84DCA" w:rsidP="00480CA9">
      <w:pPr>
        <w:ind w:left="142" w:hanging="142"/>
        <w:rPr>
          <w:sz w:val="16"/>
          <w:szCs w:val="16"/>
          <w:lang w:val="en-US"/>
        </w:rPr>
      </w:pPr>
      <w:proofErr w:type="spellStart"/>
      <w:r w:rsidRPr="00B567C9">
        <w:rPr>
          <w:sz w:val="16"/>
          <w:szCs w:val="16"/>
          <w:vertAlign w:val="superscript"/>
          <w:lang w:val="en-US"/>
        </w:rPr>
        <w:t>a</w:t>
      </w:r>
      <w:proofErr w:type="spellEnd"/>
      <w:r w:rsidRPr="00B567C9">
        <w:rPr>
          <w:sz w:val="16"/>
          <w:szCs w:val="16"/>
          <w:lang w:val="en-US"/>
        </w:rPr>
        <w:t xml:space="preserve"> Only </w:t>
      </w:r>
      <w:r>
        <w:rPr>
          <w:sz w:val="16"/>
          <w:szCs w:val="16"/>
          <w:lang w:val="en-US"/>
        </w:rPr>
        <w:t xml:space="preserve">mean </w:t>
      </w:r>
      <w:r w:rsidRPr="00B567C9">
        <w:rPr>
          <w:sz w:val="16"/>
          <w:szCs w:val="16"/>
          <w:lang w:val="en-US"/>
        </w:rPr>
        <w:t xml:space="preserve">measured concentrations were reported and therefore </w:t>
      </w:r>
      <w:r>
        <w:rPr>
          <w:sz w:val="16"/>
          <w:szCs w:val="16"/>
          <w:lang w:val="en-US"/>
        </w:rPr>
        <w:t>endpoint was based on mean measured.</w:t>
      </w:r>
    </w:p>
    <w:p w14:paraId="77995073" w14:textId="77777777" w:rsidR="00B84DCA" w:rsidRDefault="00B84DCA" w:rsidP="00480CA9">
      <w:pPr>
        <w:ind w:left="142" w:hanging="142"/>
        <w:rPr>
          <w:sz w:val="16"/>
          <w:szCs w:val="16"/>
          <w:lang w:val="en-US"/>
        </w:rPr>
      </w:pPr>
      <w:r>
        <w:rPr>
          <w:sz w:val="16"/>
          <w:szCs w:val="16"/>
          <w:vertAlign w:val="superscript"/>
          <w:lang w:val="en-US"/>
        </w:rPr>
        <w:t>b</w:t>
      </w:r>
      <w:r w:rsidRPr="00B567C9">
        <w:rPr>
          <w:sz w:val="16"/>
          <w:szCs w:val="16"/>
          <w:lang w:val="en-US"/>
        </w:rPr>
        <w:t xml:space="preserve"> </w:t>
      </w:r>
      <w:r>
        <w:rPr>
          <w:sz w:val="16"/>
          <w:szCs w:val="16"/>
          <w:lang w:val="en-US"/>
        </w:rPr>
        <w:t>Chemical analysis</w:t>
      </w:r>
      <w:r w:rsidRPr="00B567C9">
        <w:rPr>
          <w:sz w:val="16"/>
          <w:szCs w:val="16"/>
          <w:lang w:val="en-US"/>
        </w:rPr>
        <w:t xml:space="preserve"> </w:t>
      </w:r>
      <w:r>
        <w:rPr>
          <w:sz w:val="16"/>
          <w:szCs w:val="16"/>
          <w:lang w:val="en-US"/>
        </w:rPr>
        <w:t xml:space="preserve">was performed </w:t>
      </w:r>
      <w:r w:rsidRPr="00B567C9">
        <w:rPr>
          <w:sz w:val="16"/>
          <w:szCs w:val="16"/>
          <w:lang w:val="en-US"/>
        </w:rPr>
        <w:t>every 24 hours</w:t>
      </w:r>
      <w:r>
        <w:rPr>
          <w:sz w:val="16"/>
          <w:szCs w:val="16"/>
          <w:lang w:val="en-US"/>
        </w:rPr>
        <w:t xml:space="preserve"> and m</w:t>
      </w:r>
      <w:r w:rsidRPr="00B567C9">
        <w:rPr>
          <w:sz w:val="16"/>
          <w:szCs w:val="16"/>
          <w:lang w:val="en-US"/>
        </w:rPr>
        <w:t>easured concentrations were &gt;80% throughout the study</w:t>
      </w:r>
      <w:r>
        <w:rPr>
          <w:sz w:val="16"/>
          <w:szCs w:val="16"/>
          <w:lang w:val="en-US"/>
        </w:rPr>
        <w:t xml:space="preserve">. Therefore </w:t>
      </w:r>
      <w:r w:rsidRPr="00B567C9">
        <w:rPr>
          <w:sz w:val="16"/>
          <w:szCs w:val="16"/>
          <w:lang w:val="en-US"/>
        </w:rPr>
        <w:t>mean measured concentrations were used</w:t>
      </w:r>
      <w:r>
        <w:rPr>
          <w:sz w:val="16"/>
          <w:szCs w:val="16"/>
          <w:lang w:val="en-US"/>
        </w:rPr>
        <w:t xml:space="preserve"> to establish endpoints</w:t>
      </w:r>
      <w:r w:rsidRPr="00B567C9">
        <w:rPr>
          <w:sz w:val="16"/>
          <w:szCs w:val="16"/>
          <w:lang w:val="en-US"/>
        </w:rPr>
        <w:t>.</w:t>
      </w:r>
    </w:p>
    <w:p w14:paraId="4FB039FF" w14:textId="77777777" w:rsidR="00127A11" w:rsidRDefault="00A64728" w:rsidP="00480CA9">
      <w:pPr>
        <w:ind w:left="142" w:hanging="142"/>
        <w:rPr>
          <w:sz w:val="16"/>
          <w:szCs w:val="16"/>
          <w:lang w:val="en-US"/>
        </w:rPr>
      </w:pPr>
      <w:r>
        <w:rPr>
          <w:sz w:val="16"/>
          <w:szCs w:val="16"/>
          <w:vertAlign w:val="superscript"/>
          <w:lang w:val="en-US"/>
        </w:rPr>
        <w:t>c</w:t>
      </w:r>
      <w:r w:rsidRPr="00B567C9">
        <w:rPr>
          <w:sz w:val="16"/>
          <w:szCs w:val="16"/>
          <w:lang w:val="en-US"/>
        </w:rPr>
        <w:t xml:space="preserve"> </w:t>
      </w:r>
      <w:r w:rsidR="00127A11">
        <w:rPr>
          <w:sz w:val="16"/>
          <w:szCs w:val="16"/>
          <w:lang w:val="en-US"/>
        </w:rPr>
        <w:t>Endpoint from t</w:t>
      </w:r>
      <w:r w:rsidR="00127A11" w:rsidRPr="00127A11">
        <w:rPr>
          <w:sz w:val="16"/>
          <w:szCs w:val="16"/>
          <w:lang w:val="en-US"/>
        </w:rPr>
        <w:t>oxicity studies performed with the structural analogue benzoic acid (pH adjusted), which is a precursor of sodium benzoate</w:t>
      </w:r>
      <w:r w:rsidR="00127A11">
        <w:rPr>
          <w:sz w:val="16"/>
          <w:szCs w:val="16"/>
          <w:lang w:val="en-US"/>
        </w:rPr>
        <w:t xml:space="preserve">, were recalculated </w:t>
      </w:r>
      <w:r w:rsidR="00127A11" w:rsidRPr="00127A11">
        <w:rPr>
          <w:sz w:val="16"/>
          <w:szCs w:val="16"/>
          <w:lang w:val="en-US"/>
        </w:rPr>
        <w:t>considering the difference in molecular weight (122.12 g/mol for benzoic acid and 144.11 /mol for sodium benzoate)</w:t>
      </w:r>
      <w:r w:rsidR="00070C43">
        <w:rPr>
          <w:sz w:val="16"/>
          <w:szCs w:val="16"/>
          <w:lang w:val="en-US"/>
        </w:rPr>
        <w:t>.</w:t>
      </w:r>
    </w:p>
    <w:p w14:paraId="36ADCCF8" w14:textId="77777777" w:rsidR="00A64728" w:rsidRDefault="00127A11" w:rsidP="00480CA9">
      <w:pPr>
        <w:ind w:left="142" w:hanging="142"/>
        <w:rPr>
          <w:sz w:val="16"/>
          <w:szCs w:val="16"/>
          <w:lang w:val="en-US"/>
        </w:rPr>
      </w:pPr>
      <w:r>
        <w:rPr>
          <w:sz w:val="16"/>
          <w:szCs w:val="16"/>
          <w:vertAlign w:val="superscript"/>
          <w:lang w:val="en-US"/>
        </w:rPr>
        <w:t>d</w:t>
      </w:r>
      <w:r w:rsidRPr="00B567C9">
        <w:rPr>
          <w:sz w:val="16"/>
          <w:szCs w:val="16"/>
          <w:lang w:val="en-US"/>
        </w:rPr>
        <w:t xml:space="preserve"> </w:t>
      </w:r>
      <w:r w:rsidR="00A64728">
        <w:rPr>
          <w:sz w:val="16"/>
          <w:szCs w:val="16"/>
          <w:lang w:val="en-US"/>
        </w:rPr>
        <w:t>As</w:t>
      </w:r>
      <w:r w:rsidR="003571D5">
        <w:rPr>
          <w:sz w:val="16"/>
          <w:szCs w:val="16"/>
          <w:lang w:val="en-US"/>
        </w:rPr>
        <w:t xml:space="preserve"> stated in the Assessment Report for benzoic acid (2013)</w:t>
      </w:r>
      <w:r w:rsidR="00A64728">
        <w:rPr>
          <w:sz w:val="16"/>
          <w:szCs w:val="16"/>
          <w:lang w:val="en-US"/>
        </w:rPr>
        <w:t xml:space="preserve"> the</w:t>
      </w:r>
      <w:r w:rsidR="003571D5">
        <w:rPr>
          <w:sz w:val="16"/>
          <w:szCs w:val="16"/>
          <w:lang w:val="en-US"/>
        </w:rPr>
        <w:t xml:space="preserve"> (initial)</w:t>
      </w:r>
      <w:r w:rsidR="00A64728">
        <w:rPr>
          <w:sz w:val="16"/>
          <w:szCs w:val="16"/>
          <w:lang w:val="en-US"/>
        </w:rPr>
        <w:t xml:space="preserve"> recovery </w:t>
      </w:r>
      <w:r w:rsidR="003571D5">
        <w:rPr>
          <w:sz w:val="16"/>
          <w:szCs w:val="16"/>
          <w:lang w:val="en-US"/>
        </w:rPr>
        <w:t>rate in the test media was &gt;90% and therefore</w:t>
      </w:r>
      <w:r w:rsidR="00A64728">
        <w:rPr>
          <w:sz w:val="16"/>
          <w:szCs w:val="16"/>
          <w:lang w:val="en-US"/>
        </w:rPr>
        <w:t xml:space="preserve"> the results were based on nominal concentrations.</w:t>
      </w:r>
    </w:p>
    <w:p w14:paraId="449D1E0F" w14:textId="77777777" w:rsidR="00B84DCA" w:rsidRDefault="00127A11" w:rsidP="00480CA9">
      <w:pPr>
        <w:ind w:left="142" w:hanging="142"/>
        <w:rPr>
          <w:sz w:val="16"/>
          <w:szCs w:val="16"/>
          <w:lang w:val="en-US"/>
        </w:rPr>
      </w:pPr>
      <w:r>
        <w:rPr>
          <w:sz w:val="16"/>
          <w:szCs w:val="16"/>
          <w:vertAlign w:val="superscript"/>
          <w:lang w:val="en-US"/>
        </w:rPr>
        <w:t>e</w:t>
      </w:r>
      <w:r w:rsidR="00B84DCA" w:rsidRPr="00B567C9">
        <w:rPr>
          <w:sz w:val="16"/>
          <w:szCs w:val="16"/>
          <w:lang w:val="en-US"/>
        </w:rPr>
        <w:t xml:space="preserve"> </w:t>
      </w:r>
      <w:r w:rsidR="00B84DCA">
        <w:rPr>
          <w:sz w:val="16"/>
          <w:szCs w:val="16"/>
          <w:lang w:val="en-US"/>
        </w:rPr>
        <w:t>Chemical a</w:t>
      </w:r>
      <w:r w:rsidR="00B84DCA" w:rsidRPr="00A377D1">
        <w:rPr>
          <w:sz w:val="16"/>
          <w:szCs w:val="16"/>
          <w:lang w:val="en-US"/>
        </w:rPr>
        <w:t>nalysis was performed at 0, 24 and 72 hours after test start. After 24 hours the three lowest concentrations dropped below LOD</w:t>
      </w:r>
      <w:r w:rsidR="00B84DCA">
        <w:rPr>
          <w:sz w:val="16"/>
          <w:szCs w:val="16"/>
          <w:lang w:val="en-US"/>
        </w:rPr>
        <w:t xml:space="preserve"> </w:t>
      </w:r>
      <w:r w:rsidR="00B84DCA" w:rsidRPr="00A377D1">
        <w:rPr>
          <w:sz w:val="16"/>
          <w:szCs w:val="16"/>
          <w:lang w:val="en-US"/>
        </w:rPr>
        <w:t xml:space="preserve">(&lt; 0.004 mg/L) and after 72 hours all concentrations were below LOD. As statistically significant effects on growth rate and yield were only observed at the two highest test concentrations, </w:t>
      </w:r>
      <w:r w:rsidR="00B84DCA">
        <w:rPr>
          <w:sz w:val="16"/>
          <w:szCs w:val="16"/>
          <w:lang w:val="en-US"/>
        </w:rPr>
        <w:t xml:space="preserve">TWA concentrations were used to establish </w:t>
      </w:r>
      <w:r w:rsidR="00B84DCA" w:rsidRPr="00A377D1">
        <w:rPr>
          <w:sz w:val="16"/>
          <w:szCs w:val="16"/>
          <w:lang w:val="en-US"/>
        </w:rPr>
        <w:t>72</w:t>
      </w:r>
      <w:r w:rsidR="00B84DCA">
        <w:rPr>
          <w:sz w:val="16"/>
          <w:szCs w:val="16"/>
          <w:lang w:val="en-US"/>
        </w:rPr>
        <w:t>-</w:t>
      </w:r>
      <w:r w:rsidR="00B84DCA" w:rsidRPr="00A377D1">
        <w:rPr>
          <w:sz w:val="16"/>
          <w:szCs w:val="16"/>
          <w:lang w:val="en-US"/>
        </w:rPr>
        <w:t>hour endpoints</w:t>
      </w:r>
      <w:r w:rsidR="00B84DCA">
        <w:rPr>
          <w:sz w:val="16"/>
          <w:szCs w:val="16"/>
          <w:lang w:val="en-US"/>
        </w:rPr>
        <w:t xml:space="preserve">. </w:t>
      </w:r>
    </w:p>
    <w:p w14:paraId="5A9708BA" w14:textId="77777777" w:rsidR="00B84DCA" w:rsidRPr="00B567C9" w:rsidRDefault="00127A11" w:rsidP="00480CA9">
      <w:pPr>
        <w:ind w:left="142" w:hanging="142"/>
        <w:rPr>
          <w:sz w:val="16"/>
          <w:szCs w:val="16"/>
          <w:lang w:val="en-US"/>
        </w:rPr>
      </w:pPr>
      <w:r>
        <w:rPr>
          <w:sz w:val="16"/>
          <w:szCs w:val="16"/>
          <w:vertAlign w:val="superscript"/>
          <w:lang w:val="en-US"/>
        </w:rPr>
        <w:t>f</w:t>
      </w:r>
      <w:r w:rsidR="00B84DCA" w:rsidRPr="00B567C9">
        <w:rPr>
          <w:sz w:val="16"/>
          <w:szCs w:val="16"/>
          <w:lang w:val="en-US"/>
        </w:rPr>
        <w:t xml:space="preserve"> </w:t>
      </w:r>
      <w:r w:rsidR="00B84DCA">
        <w:rPr>
          <w:sz w:val="16"/>
          <w:szCs w:val="16"/>
          <w:lang w:val="en-US"/>
        </w:rPr>
        <w:t>No chemical analysis was performed. However, for this three</w:t>
      </w:r>
      <w:r w:rsidR="00B84DCA" w:rsidRPr="00A377D1">
        <w:rPr>
          <w:sz w:val="16"/>
          <w:szCs w:val="16"/>
          <w:lang w:val="en-US"/>
        </w:rPr>
        <w:t xml:space="preserve"> hour test the nominal test concentrations are considered sufficient</w:t>
      </w:r>
      <w:r w:rsidR="00B84DCA">
        <w:rPr>
          <w:sz w:val="16"/>
          <w:szCs w:val="16"/>
          <w:lang w:val="en-US"/>
        </w:rPr>
        <w:t>.</w:t>
      </w:r>
    </w:p>
    <w:p w14:paraId="6F36BB42" w14:textId="77777777" w:rsidR="00B84DCA" w:rsidRDefault="00B84DCA">
      <w:pPr>
        <w:rPr>
          <w:rFonts w:eastAsia="Calibri"/>
          <w:lang w:eastAsia="en-US"/>
        </w:rPr>
      </w:pPr>
    </w:p>
    <w:p w14:paraId="21BABE33" w14:textId="77777777" w:rsidR="00CF59EF" w:rsidRDefault="00CF59EF">
      <w:pPr>
        <w:contextualSpacing/>
        <w:jc w:val="both"/>
        <w:rPr>
          <w:rFonts w:eastAsia="Calibri"/>
          <w:sz w:val="18"/>
          <w:szCs w:val="18"/>
          <w:lang w:eastAsia="en-US"/>
        </w:rPr>
      </w:pPr>
    </w:p>
    <w:p w14:paraId="141F81AC" w14:textId="77777777" w:rsidR="005734E3" w:rsidRDefault="009D175E">
      <w:pPr>
        <w:contextualSpacing/>
        <w:jc w:val="both"/>
        <w:rPr>
          <w:rFonts w:eastAsia="Calibri"/>
          <w:lang w:eastAsia="en-US"/>
        </w:rPr>
      </w:pPr>
      <w:r>
        <w:rPr>
          <w:rFonts w:eastAsia="Calibri"/>
          <w:lang w:eastAsia="en-US"/>
        </w:rPr>
        <w:t xml:space="preserve">Various studies </w:t>
      </w:r>
      <w:r w:rsidR="005734E3">
        <w:rPr>
          <w:rFonts w:eastAsia="Calibri"/>
          <w:lang w:eastAsia="en-US"/>
        </w:rPr>
        <w:t xml:space="preserve">with aquatic organisms </w:t>
      </w:r>
      <w:r>
        <w:rPr>
          <w:rFonts w:eastAsia="Calibri"/>
          <w:lang w:eastAsia="en-US"/>
        </w:rPr>
        <w:t>are available</w:t>
      </w:r>
      <w:r w:rsidR="00395F88">
        <w:rPr>
          <w:rFonts w:eastAsia="Calibri"/>
          <w:lang w:eastAsia="en-US"/>
        </w:rPr>
        <w:t xml:space="preserve"> as part of the product data</w:t>
      </w:r>
      <w:r w:rsidR="005734E3">
        <w:rPr>
          <w:rFonts w:eastAsia="Calibri"/>
          <w:lang w:eastAsia="en-US"/>
        </w:rPr>
        <w:t xml:space="preserve">. </w:t>
      </w:r>
      <w:r w:rsidR="00866A0A">
        <w:rPr>
          <w:rFonts w:eastAsia="Calibri"/>
          <w:lang w:eastAsia="en-US"/>
        </w:rPr>
        <w:t xml:space="preserve">Part of the studies </w:t>
      </w:r>
      <w:r w:rsidR="00C92980">
        <w:rPr>
          <w:rFonts w:eastAsia="Calibri"/>
          <w:lang w:eastAsia="en-US"/>
        </w:rPr>
        <w:t>are</w:t>
      </w:r>
      <w:r w:rsidR="00866A0A">
        <w:rPr>
          <w:rFonts w:eastAsia="Calibri"/>
          <w:lang w:eastAsia="en-US"/>
        </w:rPr>
        <w:t xml:space="preserve"> considered supporting data.</w:t>
      </w:r>
    </w:p>
    <w:p w14:paraId="17BE607B" w14:textId="77777777" w:rsidR="00CF59EF" w:rsidRDefault="005734E3">
      <w:pPr>
        <w:contextualSpacing/>
        <w:jc w:val="both"/>
        <w:rPr>
          <w:rFonts w:eastAsia="Calibri"/>
          <w:lang w:eastAsia="en-US"/>
        </w:rPr>
      </w:pPr>
      <w:r>
        <w:rPr>
          <w:rFonts w:eastAsia="Calibri"/>
          <w:lang w:eastAsia="en-US"/>
        </w:rPr>
        <w:t xml:space="preserve">In the study by </w:t>
      </w:r>
      <w:proofErr w:type="spellStart"/>
      <w:r w:rsidR="007E7BB7" w:rsidRPr="002F4C58">
        <w:rPr>
          <w:rFonts w:eastAsia="Calibri"/>
          <w:highlight w:val="black"/>
        </w:rPr>
        <w:t>xxxxx</w:t>
      </w:r>
      <w:proofErr w:type="spellEnd"/>
      <w:r>
        <w:rPr>
          <w:rFonts w:eastAsia="Calibri"/>
          <w:lang w:eastAsia="en-US"/>
        </w:rPr>
        <w:t xml:space="preserve"> various organisms, including </w:t>
      </w:r>
      <w:proofErr w:type="spellStart"/>
      <w:r w:rsidRPr="005734E3">
        <w:rPr>
          <w:rFonts w:eastAsia="Calibri"/>
          <w:i/>
          <w:lang w:eastAsia="en-US"/>
        </w:rPr>
        <w:t>Pimephales</w:t>
      </w:r>
      <w:proofErr w:type="spellEnd"/>
      <w:r w:rsidRPr="005734E3">
        <w:rPr>
          <w:rFonts w:eastAsia="Calibri"/>
          <w:i/>
          <w:lang w:eastAsia="en-US"/>
        </w:rPr>
        <w:t xml:space="preserve"> </w:t>
      </w:r>
      <w:proofErr w:type="spellStart"/>
      <w:r w:rsidRPr="005734E3">
        <w:rPr>
          <w:rFonts w:eastAsia="Calibri"/>
          <w:i/>
          <w:lang w:eastAsia="en-US"/>
        </w:rPr>
        <w:t>promelas</w:t>
      </w:r>
      <w:proofErr w:type="spellEnd"/>
      <w:r>
        <w:rPr>
          <w:rFonts w:eastAsia="Calibri"/>
          <w:lang w:eastAsia="en-US"/>
        </w:rPr>
        <w:t xml:space="preserve"> and </w:t>
      </w:r>
      <w:r w:rsidRPr="005734E3">
        <w:rPr>
          <w:rFonts w:eastAsia="Calibri"/>
          <w:i/>
          <w:lang w:eastAsia="en-US"/>
        </w:rPr>
        <w:t>Daphnia magna</w:t>
      </w:r>
      <w:r>
        <w:rPr>
          <w:rFonts w:eastAsia="Calibri"/>
          <w:lang w:eastAsia="en-US"/>
        </w:rPr>
        <w:t>, were exposed under static conditions for 96 hours, after which survival, condition and behaviour were assessed. Results were based on nominal concentrations, as a chemical analysis was not performed. However, decline of the concentration of the test substance may be expected</w:t>
      </w:r>
      <w:r w:rsidR="00146B78">
        <w:rPr>
          <w:rFonts w:eastAsia="Calibri"/>
          <w:lang w:eastAsia="en-US"/>
        </w:rPr>
        <w:t xml:space="preserve">, as indicated by the algae study by </w:t>
      </w:r>
      <w:proofErr w:type="spellStart"/>
      <w:r w:rsidR="007E7BB7" w:rsidRPr="002F4C58">
        <w:rPr>
          <w:rFonts w:eastAsia="Calibri"/>
          <w:highlight w:val="black"/>
        </w:rPr>
        <w:t>xxxxx</w:t>
      </w:r>
      <w:proofErr w:type="spellEnd"/>
      <w:r w:rsidR="007E7BB7">
        <w:rPr>
          <w:rFonts w:eastAsia="Calibri"/>
          <w:lang w:val="en-US" w:eastAsia="en-US"/>
        </w:rPr>
        <w:t xml:space="preserve"> </w:t>
      </w:r>
      <w:r w:rsidR="00146B78">
        <w:rPr>
          <w:rFonts w:eastAsia="Calibri"/>
          <w:lang w:val="en-US" w:eastAsia="en-US"/>
        </w:rPr>
        <w:t>discussed below</w:t>
      </w:r>
      <w:r>
        <w:rPr>
          <w:rFonts w:eastAsia="Calibri"/>
          <w:lang w:eastAsia="en-US"/>
        </w:rPr>
        <w:t xml:space="preserve">. Moreover, the number of replicates and test organisms (one replicate with ten organisms) was lower than </w:t>
      </w:r>
      <w:r>
        <w:rPr>
          <w:rFonts w:eastAsia="Calibri"/>
          <w:lang w:eastAsia="en-US"/>
        </w:rPr>
        <w:lastRenderedPageBreak/>
        <w:t xml:space="preserve">recommended for </w:t>
      </w:r>
      <w:r w:rsidRPr="000C7149">
        <w:rPr>
          <w:rFonts w:eastAsia="Calibri"/>
          <w:i/>
          <w:lang w:eastAsia="en-US"/>
        </w:rPr>
        <w:t>Daphnia magna</w:t>
      </w:r>
      <w:r>
        <w:rPr>
          <w:rFonts w:eastAsia="Calibri"/>
          <w:lang w:eastAsia="en-US"/>
        </w:rPr>
        <w:t xml:space="preserve"> in OECD 202. </w:t>
      </w:r>
      <w:r w:rsidR="00240FB8">
        <w:rPr>
          <w:rFonts w:eastAsia="Calibri"/>
          <w:lang w:eastAsia="en-US"/>
        </w:rPr>
        <w:t>Hence, the study was not considered reliable.</w:t>
      </w:r>
    </w:p>
    <w:p w14:paraId="7D87FC9C" w14:textId="77777777" w:rsidR="008E1A1D" w:rsidRDefault="008E1A1D">
      <w:pPr>
        <w:contextualSpacing/>
        <w:jc w:val="both"/>
        <w:rPr>
          <w:rFonts w:eastAsia="Calibri"/>
          <w:lang w:eastAsia="en-US"/>
        </w:rPr>
      </w:pPr>
      <w:r>
        <w:rPr>
          <w:rFonts w:eastAsia="Calibri"/>
          <w:lang w:eastAsia="en-US"/>
        </w:rPr>
        <w:t xml:space="preserve">The key study by </w:t>
      </w:r>
      <w:proofErr w:type="spellStart"/>
      <w:r w:rsidR="007E7BB7" w:rsidRPr="002F4C58">
        <w:rPr>
          <w:rFonts w:eastAsia="Calibri"/>
          <w:highlight w:val="black"/>
        </w:rPr>
        <w:t>xxxxx</w:t>
      </w:r>
      <w:proofErr w:type="spellEnd"/>
      <w:r w:rsidR="007E7BB7">
        <w:rPr>
          <w:rFonts w:eastAsia="Calibri"/>
          <w:lang w:eastAsia="en-US"/>
        </w:rPr>
        <w:t xml:space="preserve"> </w:t>
      </w:r>
      <w:r>
        <w:rPr>
          <w:rFonts w:eastAsia="Calibri"/>
          <w:lang w:eastAsia="en-US"/>
        </w:rPr>
        <w:t xml:space="preserve">is a flow-through test with </w:t>
      </w:r>
      <w:proofErr w:type="spellStart"/>
      <w:r w:rsidRPr="008E1A1D">
        <w:rPr>
          <w:rFonts w:eastAsia="Calibri"/>
          <w:i/>
          <w:lang w:eastAsia="en-US"/>
        </w:rPr>
        <w:t>Pimephales</w:t>
      </w:r>
      <w:proofErr w:type="spellEnd"/>
      <w:r w:rsidRPr="008E1A1D">
        <w:rPr>
          <w:rFonts w:eastAsia="Calibri"/>
          <w:i/>
          <w:lang w:eastAsia="en-US"/>
        </w:rPr>
        <w:t xml:space="preserve"> </w:t>
      </w:r>
      <w:proofErr w:type="spellStart"/>
      <w:r w:rsidRPr="008E1A1D">
        <w:rPr>
          <w:rFonts w:eastAsia="Calibri"/>
          <w:i/>
          <w:lang w:eastAsia="en-US"/>
        </w:rPr>
        <w:t>promelas</w:t>
      </w:r>
      <w:proofErr w:type="spellEnd"/>
      <w:r w:rsidR="00127A11">
        <w:rPr>
          <w:rFonts w:eastAsia="Calibri"/>
          <w:lang w:eastAsia="en-US"/>
        </w:rPr>
        <w:t xml:space="preserve"> exposed to sodium benzoate</w:t>
      </w:r>
      <w:r>
        <w:rPr>
          <w:rFonts w:eastAsia="Calibri"/>
          <w:lang w:eastAsia="en-US"/>
        </w:rPr>
        <w:t xml:space="preserve">. The study is considered reliable and the endpoint is based on mean measured concentrations. </w:t>
      </w:r>
    </w:p>
    <w:p w14:paraId="64F2FA22" w14:textId="77777777" w:rsidR="005734E3" w:rsidRDefault="005734E3" w:rsidP="005734E3">
      <w:pPr>
        <w:contextualSpacing/>
        <w:jc w:val="both"/>
        <w:rPr>
          <w:rFonts w:eastAsia="Calibri"/>
          <w:lang w:val="en-US" w:eastAsia="en-US"/>
        </w:rPr>
      </w:pPr>
      <w:r>
        <w:rPr>
          <w:rFonts w:eastAsia="Calibri"/>
          <w:lang w:eastAsia="en-US"/>
        </w:rPr>
        <w:t xml:space="preserve">The study by </w:t>
      </w:r>
      <w:proofErr w:type="spellStart"/>
      <w:r w:rsidR="007E7BB7" w:rsidRPr="002F4C58">
        <w:rPr>
          <w:rFonts w:eastAsia="Calibri"/>
          <w:highlight w:val="black"/>
        </w:rPr>
        <w:t>xxxxx</w:t>
      </w:r>
      <w:proofErr w:type="spellEnd"/>
      <w:r w:rsidR="007E7BB7" w:rsidRPr="005734E3">
        <w:rPr>
          <w:rFonts w:eastAsia="Calibri"/>
          <w:lang w:val="en-US" w:eastAsia="en-US"/>
        </w:rPr>
        <w:t xml:space="preserve"> </w:t>
      </w:r>
      <w:r w:rsidRPr="005734E3">
        <w:rPr>
          <w:rFonts w:eastAsia="Calibri"/>
          <w:lang w:val="en-US" w:eastAsia="en-US"/>
        </w:rPr>
        <w:t xml:space="preserve">presents the exposure of zebrafish embryos (48 hours post fertilization) to sodium benzoate (1-2000 </w:t>
      </w:r>
      <w:r w:rsidR="00146B78">
        <w:rPr>
          <w:rFonts w:eastAsia="Calibri"/>
          <w:lang w:val="en-US" w:eastAsia="en-US"/>
        </w:rPr>
        <w:t>mg/L</w:t>
      </w:r>
      <w:r w:rsidRPr="005734E3">
        <w:rPr>
          <w:rFonts w:eastAsia="Calibri"/>
          <w:lang w:val="en-US" w:eastAsia="en-US"/>
        </w:rPr>
        <w:t>) for a period of 24 hours, under static conditions, after which survival and motility were assessed</w:t>
      </w:r>
      <w:r>
        <w:rPr>
          <w:rFonts w:eastAsia="Calibri"/>
          <w:lang w:val="en-US" w:eastAsia="en-US"/>
        </w:rPr>
        <w:t xml:space="preserve">. This study also does not </w:t>
      </w:r>
      <w:r w:rsidRPr="005734E3">
        <w:rPr>
          <w:rFonts w:eastAsia="Calibri"/>
          <w:lang w:val="en-US" w:eastAsia="en-US"/>
        </w:rPr>
        <w:t xml:space="preserve">include chemical analysis </w:t>
      </w:r>
      <w:r>
        <w:rPr>
          <w:rFonts w:eastAsia="Calibri"/>
          <w:lang w:val="en-US" w:eastAsia="en-US"/>
        </w:rPr>
        <w:t>of test substance concentrations</w:t>
      </w:r>
      <w:r w:rsidRPr="005734E3">
        <w:rPr>
          <w:rFonts w:eastAsia="Calibri"/>
          <w:lang w:val="en-US" w:eastAsia="en-US"/>
        </w:rPr>
        <w:t xml:space="preserve">. </w:t>
      </w:r>
      <w:r>
        <w:rPr>
          <w:rFonts w:eastAsia="Calibri"/>
          <w:lang w:val="en-US" w:eastAsia="en-US"/>
        </w:rPr>
        <w:t>No guideline was followed, but</w:t>
      </w:r>
      <w:r w:rsidRPr="005734E3">
        <w:rPr>
          <w:rFonts w:eastAsia="Calibri"/>
          <w:lang w:val="en-US" w:eastAsia="en-US"/>
        </w:rPr>
        <w:t xml:space="preserve"> when considering relevant guidelines (OECD 212 and 236) the embryos used in the test are older than recommended (both OECD GDs recommend to use embryos as soon as possible after fertilization) and exposure is shorter than discussed in these OECD GDs (3-5 days and 96 hours in OECD 212 and 236, respectively). Moreover, both guidelines state that short-term testing with embryos may be used to assess acute toxicity to fish or as a screening for chronic toxicity, but that any</w:t>
      </w:r>
      <w:r>
        <w:rPr>
          <w:rFonts w:eastAsia="Calibri"/>
          <w:lang w:val="en-US" w:eastAsia="en-US"/>
        </w:rPr>
        <w:t xml:space="preserve"> </w:t>
      </w:r>
      <w:r w:rsidRPr="005734E3">
        <w:rPr>
          <w:rFonts w:eastAsia="Calibri"/>
          <w:lang w:val="en-US" w:eastAsia="en-US"/>
        </w:rPr>
        <w:t xml:space="preserve">reduced exposure with respect to life stages may reduce the sensitivity and thus underestimate the chronic toxicity. Reduction of the exposure duration </w:t>
      </w:r>
      <w:r w:rsidR="007355AC">
        <w:rPr>
          <w:rFonts w:eastAsia="Calibri"/>
          <w:lang w:val="en-US" w:eastAsia="en-US"/>
        </w:rPr>
        <w:t xml:space="preserve">to 24 hours </w:t>
      </w:r>
      <w:r w:rsidRPr="005734E3">
        <w:rPr>
          <w:rFonts w:eastAsia="Calibri"/>
          <w:lang w:val="en-US" w:eastAsia="en-US"/>
        </w:rPr>
        <w:t xml:space="preserve">reduces the sensitivity further. Moreover, mortality was </w:t>
      </w:r>
      <w:r w:rsidR="00146B78">
        <w:rPr>
          <w:rFonts w:eastAsia="Calibri"/>
          <w:lang w:val="en-US" w:eastAsia="en-US"/>
        </w:rPr>
        <w:t xml:space="preserve">only </w:t>
      </w:r>
      <w:r w:rsidRPr="005734E3">
        <w:rPr>
          <w:rFonts w:eastAsia="Calibri"/>
          <w:lang w:val="en-US" w:eastAsia="en-US"/>
        </w:rPr>
        <w:t>teste</w:t>
      </w:r>
      <w:r w:rsidR="00146B78">
        <w:rPr>
          <w:rFonts w:eastAsia="Calibri"/>
          <w:lang w:val="en-US" w:eastAsia="en-US"/>
        </w:rPr>
        <w:t xml:space="preserve">d at one concentration (1000 </w:t>
      </w:r>
      <w:r w:rsidRPr="005734E3">
        <w:rPr>
          <w:rFonts w:eastAsia="Calibri"/>
          <w:lang w:val="en-US" w:eastAsia="en-US"/>
        </w:rPr>
        <w:t>m</w:t>
      </w:r>
      <w:r w:rsidR="00146B78">
        <w:rPr>
          <w:rFonts w:eastAsia="Calibri"/>
          <w:lang w:val="en-US" w:eastAsia="en-US"/>
        </w:rPr>
        <w:t>g/L</w:t>
      </w:r>
      <w:r w:rsidRPr="005734E3">
        <w:rPr>
          <w:rFonts w:eastAsia="Calibri"/>
          <w:lang w:val="en-US" w:eastAsia="en-US"/>
        </w:rPr>
        <w:t xml:space="preserve">) for </w:t>
      </w:r>
      <w:r w:rsidR="00146B78">
        <w:rPr>
          <w:rFonts w:eastAsia="Calibri"/>
          <w:lang w:val="en-US" w:eastAsia="en-US"/>
        </w:rPr>
        <w:t xml:space="preserve">a prolonged period of </w:t>
      </w:r>
      <w:r w:rsidRPr="005734E3">
        <w:rPr>
          <w:rFonts w:eastAsia="Calibri"/>
          <w:lang w:val="en-US" w:eastAsia="en-US"/>
        </w:rPr>
        <w:t xml:space="preserve">144 hours, which demonstrated that </w:t>
      </w:r>
      <w:r w:rsidR="007355AC">
        <w:rPr>
          <w:rFonts w:eastAsia="Calibri"/>
          <w:lang w:val="en-US" w:eastAsia="en-US"/>
        </w:rPr>
        <w:t>mortality rates</w:t>
      </w:r>
      <w:r w:rsidRPr="005734E3">
        <w:rPr>
          <w:rFonts w:eastAsia="Calibri"/>
          <w:lang w:val="en-US" w:eastAsia="en-US"/>
        </w:rPr>
        <w:t xml:space="preserve"> followed a time-dependent manner</w:t>
      </w:r>
      <w:r w:rsidR="007355AC">
        <w:rPr>
          <w:rFonts w:eastAsia="Calibri"/>
          <w:lang w:val="en-US" w:eastAsia="en-US"/>
        </w:rPr>
        <w:t>, with mortality increasing over time to 100% mortality at 144 hours</w:t>
      </w:r>
      <w:r w:rsidRPr="005734E3">
        <w:rPr>
          <w:rFonts w:eastAsia="Calibri"/>
          <w:lang w:val="en-US" w:eastAsia="en-US"/>
        </w:rPr>
        <w:t xml:space="preserve">. </w:t>
      </w:r>
      <w:r w:rsidR="007355AC">
        <w:rPr>
          <w:rFonts w:eastAsia="Calibri"/>
          <w:lang w:val="en-US" w:eastAsia="en-US"/>
        </w:rPr>
        <w:t xml:space="preserve">Hence, it was not possible to obtain a reliable NOEC from this study. </w:t>
      </w:r>
    </w:p>
    <w:p w14:paraId="5872E828" w14:textId="77777777" w:rsidR="00930A9B" w:rsidRDefault="00930A9B" w:rsidP="005734E3">
      <w:pPr>
        <w:contextualSpacing/>
        <w:jc w:val="both"/>
        <w:rPr>
          <w:rFonts w:eastAsia="Calibri"/>
          <w:lang w:val="en-US" w:eastAsia="en-US"/>
        </w:rPr>
      </w:pPr>
      <w:r>
        <w:rPr>
          <w:rFonts w:eastAsia="Calibri"/>
          <w:lang w:val="en-US" w:eastAsia="en-US"/>
        </w:rPr>
        <w:t xml:space="preserve">Data are lacking on controls, dissolved oxygen concentrations and chemical analysis for the study by Kamaya et al. (2005). Hence, the study is not considered reliable for PNEC derivation.  </w:t>
      </w:r>
    </w:p>
    <w:p w14:paraId="4B411F65" w14:textId="77777777" w:rsidR="00240FB8" w:rsidRDefault="00240FB8" w:rsidP="00240FB8">
      <w:pPr>
        <w:contextualSpacing/>
        <w:jc w:val="both"/>
        <w:rPr>
          <w:rFonts w:eastAsia="Calibri"/>
          <w:lang w:val="en-US" w:eastAsia="en-US"/>
        </w:rPr>
      </w:pPr>
      <w:r>
        <w:rPr>
          <w:rFonts w:eastAsia="Calibri"/>
          <w:lang w:val="en-US" w:eastAsia="en-US"/>
        </w:rPr>
        <w:t xml:space="preserve">The study by </w:t>
      </w:r>
      <w:proofErr w:type="spellStart"/>
      <w:r w:rsidR="007E7BB7" w:rsidRPr="002F4C58">
        <w:rPr>
          <w:rFonts w:eastAsia="Calibri"/>
          <w:highlight w:val="black"/>
        </w:rPr>
        <w:t>xxxxx</w:t>
      </w:r>
      <w:proofErr w:type="spellEnd"/>
      <w:r w:rsidR="007E7BB7" w:rsidRPr="00D91887">
        <w:rPr>
          <w:rFonts w:eastAsia="Calibri"/>
          <w:lang w:val="en-US" w:eastAsia="en-US"/>
        </w:rPr>
        <w:t xml:space="preserve"> </w:t>
      </w:r>
      <w:r w:rsidRPr="00D91887">
        <w:rPr>
          <w:rFonts w:eastAsia="Calibri"/>
          <w:lang w:val="en-US" w:eastAsia="en-US"/>
        </w:rPr>
        <w:t>only presents an endpoint for daphnids acutely exposed to sodium benzoate when added to Lake Erie water. No other details (applied guideline, test conditions, test concentrations, number of replicates and animals per test concentration etc</w:t>
      </w:r>
      <w:r>
        <w:rPr>
          <w:rFonts w:eastAsia="Calibri"/>
          <w:lang w:val="en-US" w:eastAsia="en-US"/>
        </w:rPr>
        <w:t>.</w:t>
      </w:r>
      <w:r w:rsidRPr="00D91887">
        <w:rPr>
          <w:rFonts w:eastAsia="Calibri"/>
          <w:lang w:val="en-US" w:eastAsia="en-US"/>
        </w:rPr>
        <w:t xml:space="preserve">) </w:t>
      </w:r>
      <w:r>
        <w:rPr>
          <w:rFonts w:eastAsia="Calibri"/>
          <w:lang w:val="en-US" w:eastAsia="en-US"/>
        </w:rPr>
        <w:t>we</w:t>
      </w:r>
      <w:r w:rsidRPr="00D91887">
        <w:rPr>
          <w:rFonts w:eastAsia="Calibri"/>
          <w:lang w:val="en-US" w:eastAsia="en-US"/>
        </w:rPr>
        <w:t>re provided</w:t>
      </w:r>
      <w:r>
        <w:rPr>
          <w:rFonts w:eastAsia="Calibri"/>
          <w:lang w:val="en-US" w:eastAsia="en-US"/>
        </w:rPr>
        <w:t>. Hence, the study is not considered reliable for the PNEC derivation.</w:t>
      </w:r>
    </w:p>
    <w:p w14:paraId="1C5E4FDE" w14:textId="77777777" w:rsidR="008E1A1D" w:rsidRDefault="008E1A1D" w:rsidP="00240FB8">
      <w:pPr>
        <w:contextualSpacing/>
        <w:jc w:val="both"/>
        <w:rPr>
          <w:rFonts w:eastAsia="Calibri"/>
          <w:lang w:val="en-US" w:eastAsia="en-US"/>
        </w:rPr>
      </w:pPr>
      <w:r>
        <w:rPr>
          <w:rFonts w:eastAsia="Calibri"/>
          <w:lang w:val="en-US" w:eastAsia="en-US"/>
        </w:rPr>
        <w:t xml:space="preserve">A study </w:t>
      </w:r>
      <w:r w:rsidR="00127A11">
        <w:rPr>
          <w:rFonts w:eastAsia="Calibri"/>
          <w:lang w:val="en-US" w:eastAsia="en-US"/>
        </w:rPr>
        <w:t xml:space="preserve">by </w:t>
      </w:r>
      <w:proofErr w:type="spellStart"/>
      <w:r w:rsidR="007E7BB7" w:rsidRPr="002F4C58">
        <w:rPr>
          <w:rFonts w:eastAsia="Calibri"/>
          <w:highlight w:val="black"/>
        </w:rPr>
        <w:t>xxxxx</w:t>
      </w:r>
      <w:proofErr w:type="spellEnd"/>
      <w:r w:rsidR="007E7BB7">
        <w:rPr>
          <w:rFonts w:eastAsia="Calibri"/>
          <w:lang w:val="en-US" w:eastAsia="en-US"/>
        </w:rPr>
        <w:t xml:space="preserve"> </w:t>
      </w:r>
      <w:r>
        <w:rPr>
          <w:rFonts w:eastAsia="Calibri"/>
          <w:lang w:val="en-US" w:eastAsia="en-US"/>
        </w:rPr>
        <w:t xml:space="preserve">with </w:t>
      </w:r>
      <w:r w:rsidRPr="008E1A1D">
        <w:rPr>
          <w:rFonts w:eastAsia="Calibri"/>
          <w:i/>
          <w:lang w:val="en-US" w:eastAsia="en-US"/>
        </w:rPr>
        <w:t>Daphnia magna</w:t>
      </w:r>
      <w:r>
        <w:rPr>
          <w:rFonts w:eastAsia="Calibri"/>
          <w:lang w:val="en-US" w:eastAsia="en-US"/>
        </w:rPr>
        <w:t xml:space="preserve"> </w:t>
      </w:r>
      <w:r w:rsidR="00127A11">
        <w:rPr>
          <w:rFonts w:eastAsia="Calibri"/>
          <w:lang w:val="en-US" w:eastAsia="en-US"/>
        </w:rPr>
        <w:t xml:space="preserve">acutely </w:t>
      </w:r>
      <w:r>
        <w:rPr>
          <w:rFonts w:eastAsia="Calibri"/>
          <w:lang w:val="en-US" w:eastAsia="en-US"/>
        </w:rPr>
        <w:t>exposed to benzoic acid is available from the Assessment Report for benzoic acid (2013). The agreed endpoint is also considered relevant for the assessment of sodium benzoate.</w:t>
      </w:r>
    </w:p>
    <w:p w14:paraId="692AB9E2" w14:textId="77777777" w:rsidR="00240FB8" w:rsidRDefault="00240FB8" w:rsidP="00240FB8">
      <w:pPr>
        <w:contextualSpacing/>
        <w:jc w:val="both"/>
        <w:rPr>
          <w:rFonts w:eastAsia="Calibri"/>
          <w:lang w:val="en-US" w:eastAsia="en-US"/>
        </w:rPr>
      </w:pPr>
      <w:r>
        <w:rPr>
          <w:rFonts w:eastAsia="Calibri"/>
          <w:lang w:eastAsia="en-US"/>
        </w:rPr>
        <w:t xml:space="preserve">One long-term test with </w:t>
      </w:r>
      <w:r w:rsidRPr="004979C4">
        <w:rPr>
          <w:rFonts w:eastAsia="Calibri"/>
          <w:i/>
          <w:lang w:eastAsia="en-US"/>
        </w:rPr>
        <w:t>Daphnia magna</w:t>
      </w:r>
      <w:r>
        <w:rPr>
          <w:rFonts w:eastAsia="Calibri"/>
          <w:lang w:eastAsia="en-US"/>
        </w:rPr>
        <w:t xml:space="preserve"> </w:t>
      </w:r>
      <w:r w:rsidR="008E1A1D">
        <w:rPr>
          <w:rFonts w:eastAsia="Calibri"/>
          <w:lang w:eastAsia="en-US"/>
        </w:rPr>
        <w:t>(</w:t>
      </w:r>
      <w:proofErr w:type="spellStart"/>
      <w:r w:rsidR="007E7BB7" w:rsidRPr="002F4C58">
        <w:rPr>
          <w:rFonts w:eastAsia="Calibri"/>
          <w:highlight w:val="black"/>
        </w:rPr>
        <w:t>xxxxx</w:t>
      </w:r>
      <w:proofErr w:type="spellEnd"/>
      <w:r w:rsidR="008E1A1D">
        <w:rPr>
          <w:rFonts w:eastAsia="Calibri"/>
          <w:lang w:eastAsia="en-US"/>
        </w:rPr>
        <w:t xml:space="preserve">) </w:t>
      </w:r>
      <w:r>
        <w:rPr>
          <w:rFonts w:eastAsia="Calibri"/>
          <w:lang w:eastAsia="en-US"/>
        </w:rPr>
        <w:t xml:space="preserve">exposed to benzoic acid is available. This study was evaluated in the Assessment Report for benzoic acid (2013) and the agreed endpoint for this study is also considered relevant for this assessment. </w:t>
      </w:r>
    </w:p>
    <w:p w14:paraId="272A02D2" w14:textId="77777777" w:rsidR="00E6306F" w:rsidRDefault="00E6306F" w:rsidP="00E6306F">
      <w:pPr>
        <w:contextualSpacing/>
        <w:jc w:val="both"/>
        <w:rPr>
          <w:rFonts w:eastAsia="Calibri"/>
          <w:lang w:val="en-US" w:eastAsia="en-US"/>
        </w:rPr>
      </w:pPr>
      <w:r>
        <w:rPr>
          <w:rFonts w:eastAsia="Calibri"/>
          <w:lang w:val="en-US" w:eastAsia="en-US"/>
        </w:rPr>
        <w:t xml:space="preserve">In the </w:t>
      </w:r>
      <w:proofErr w:type="spellStart"/>
      <w:r w:rsidR="00CA081A" w:rsidRPr="00CA081A">
        <w:rPr>
          <w:rFonts w:eastAsia="Calibri"/>
          <w:i/>
          <w:lang w:val="en-US" w:eastAsia="en-US"/>
        </w:rPr>
        <w:t>Pseudokirchneriella</w:t>
      </w:r>
      <w:proofErr w:type="spellEnd"/>
      <w:r w:rsidR="00CA081A" w:rsidRPr="00CA081A">
        <w:rPr>
          <w:rFonts w:eastAsia="Calibri"/>
          <w:i/>
          <w:lang w:val="en-US" w:eastAsia="en-US"/>
        </w:rPr>
        <w:t xml:space="preserve"> </w:t>
      </w:r>
      <w:proofErr w:type="spellStart"/>
      <w:r w:rsidR="00CA081A" w:rsidRPr="00CA081A">
        <w:rPr>
          <w:rFonts w:eastAsia="Calibri"/>
          <w:i/>
          <w:lang w:val="en-US" w:eastAsia="en-US"/>
        </w:rPr>
        <w:t>subcapitata</w:t>
      </w:r>
      <w:proofErr w:type="spellEnd"/>
      <w:r w:rsidR="00CA081A" w:rsidRPr="00CA081A">
        <w:rPr>
          <w:rFonts w:eastAsia="Calibri"/>
          <w:lang w:val="en-US" w:eastAsia="en-US"/>
        </w:rPr>
        <w:t xml:space="preserve"> </w:t>
      </w:r>
      <w:r>
        <w:rPr>
          <w:rFonts w:eastAsia="Calibri"/>
          <w:lang w:val="en-US" w:eastAsia="en-US"/>
        </w:rPr>
        <w:t xml:space="preserve">study by </w:t>
      </w:r>
      <w:proofErr w:type="spellStart"/>
      <w:r w:rsidR="007E7BB7" w:rsidRPr="002F4C58">
        <w:rPr>
          <w:rFonts w:eastAsia="Calibri"/>
          <w:highlight w:val="black"/>
        </w:rPr>
        <w:t>xxxxx</w:t>
      </w:r>
      <w:proofErr w:type="spellEnd"/>
      <w:r w:rsidR="007E7BB7">
        <w:rPr>
          <w:rFonts w:eastAsia="Calibri"/>
          <w:lang w:val="en-US" w:eastAsia="en-US"/>
        </w:rPr>
        <w:t xml:space="preserve"> </w:t>
      </w:r>
      <w:r>
        <w:rPr>
          <w:rFonts w:eastAsia="Calibri"/>
          <w:lang w:val="en-US" w:eastAsia="en-US"/>
        </w:rPr>
        <w:t>measured concentrations declined rapidly</w:t>
      </w:r>
      <w:r w:rsidR="009E710B">
        <w:rPr>
          <w:rFonts w:eastAsia="Calibri"/>
          <w:lang w:val="en-US" w:eastAsia="en-US"/>
        </w:rPr>
        <w:t>; below the limit of detection within 24 hours for the lowest test concentrations</w:t>
      </w:r>
      <w:r>
        <w:rPr>
          <w:rFonts w:eastAsia="Calibri"/>
          <w:lang w:val="en-US" w:eastAsia="en-US"/>
        </w:rPr>
        <w:t xml:space="preserve">. </w:t>
      </w:r>
      <w:r w:rsidR="009E710B">
        <w:rPr>
          <w:rFonts w:eastAsia="Calibri"/>
          <w:lang w:val="en-US" w:eastAsia="en-US"/>
        </w:rPr>
        <w:t>Therefore, i</w:t>
      </w:r>
      <w:r>
        <w:rPr>
          <w:rFonts w:eastAsia="Calibri"/>
          <w:lang w:val="en-US" w:eastAsia="en-US"/>
        </w:rPr>
        <w:t>t is considered that the study is sufficient to obtain an ErC</w:t>
      </w:r>
      <w:r w:rsidRPr="00CA081A">
        <w:rPr>
          <w:rFonts w:eastAsia="Calibri"/>
          <w:vertAlign w:val="subscript"/>
          <w:lang w:val="en-US" w:eastAsia="en-US"/>
        </w:rPr>
        <w:t>50</w:t>
      </w:r>
      <w:r>
        <w:rPr>
          <w:rFonts w:eastAsia="Calibri"/>
          <w:lang w:val="en-US" w:eastAsia="en-US"/>
        </w:rPr>
        <w:t xml:space="preserve"> value</w:t>
      </w:r>
      <w:r w:rsidR="009E710B">
        <w:rPr>
          <w:rFonts w:eastAsia="Calibri"/>
          <w:lang w:val="en-US" w:eastAsia="en-US"/>
        </w:rPr>
        <w:t xml:space="preserve"> (higher than the highest test concentration), but that it is not possible to obtain reliable NOEC or EC</w:t>
      </w:r>
      <w:r w:rsidR="009E710B" w:rsidRPr="00CA081A">
        <w:rPr>
          <w:rFonts w:eastAsia="Calibri"/>
          <w:vertAlign w:val="subscript"/>
          <w:lang w:val="en-US" w:eastAsia="en-US"/>
        </w:rPr>
        <w:t>10</w:t>
      </w:r>
      <w:r w:rsidR="009E710B">
        <w:rPr>
          <w:rFonts w:eastAsia="Calibri"/>
          <w:lang w:val="en-US" w:eastAsia="en-US"/>
        </w:rPr>
        <w:t xml:space="preserve"> values.</w:t>
      </w:r>
    </w:p>
    <w:p w14:paraId="11BB0576" w14:textId="77777777" w:rsidR="00070C43" w:rsidRDefault="00070C43" w:rsidP="00E6306F">
      <w:pPr>
        <w:contextualSpacing/>
        <w:jc w:val="both"/>
        <w:rPr>
          <w:rFonts w:eastAsia="Calibri"/>
          <w:lang w:val="en-US" w:eastAsia="en-US"/>
        </w:rPr>
      </w:pPr>
      <w:r>
        <w:rPr>
          <w:rFonts w:eastAsia="Calibri"/>
          <w:lang w:val="en-US" w:eastAsia="en-US"/>
        </w:rPr>
        <w:t>A study with activated sludge exposed to benzoic acid (</w:t>
      </w:r>
      <w:proofErr w:type="spellStart"/>
      <w:r w:rsidR="007E7BB7" w:rsidRPr="002F4C58">
        <w:rPr>
          <w:rFonts w:eastAsia="Calibri"/>
          <w:highlight w:val="black"/>
        </w:rPr>
        <w:t>xxxxx</w:t>
      </w:r>
      <w:proofErr w:type="spellEnd"/>
      <w:r>
        <w:rPr>
          <w:rFonts w:eastAsia="Calibri"/>
          <w:lang w:val="en-US" w:eastAsia="en-US"/>
        </w:rPr>
        <w:t>) is available from the Assessment Report for benzoic acid (2013). The agreed endpoint is also considered relevant for the assessment of sodium benzoate.</w:t>
      </w:r>
    </w:p>
    <w:p w14:paraId="4ECD4B2B" w14:textId="77777777" w:rsidR="00E6306F" w:rsidRDefault="00122D55" w:rsidP="00122D55">
      <w:pPr>
        <w:contextualSpacing/>
        <w:jc w:val="both"/>
        <w:rPr>
          <w:rFonts w:eastAsia="Calibri"/>
          <w:lang w:eastAsia="en-US"/>
        </w:rPr>
      </w:pPr>
      <w:r>
        <w:rPr>
          <w:rFonts w:eastAsia="Calibri"/>
          <w:lang w:val="en-US" w:eastAsia="en-US"/>
        </w:rPr>
        <w:t xml:space="preserve">The study by </w:t>
      </w:r>
      <w:proofErr w:type="spellStart"/>
      <w:r w:rsidR="007E7BB7" w:rsidRPr="002F4C58">
        <w:rPr>
          <w:rFonts w:eastAsia="Calibri"/>
          <w:highlight w:val="black"/>
        </w:rPr>
        <w:t>xxxxx</w:t>
      </w:r>
      <w:proofErr w:type="spellEnd"/>
      <w:r w:rsidR="007E7BB7" w:rsidRPr="00122D55">
        <w:rPr>
          <w:rFonts w:eastAsia="Calibri"/>
          <w:lang w:val="en-US" w:eastAsia="en-US"/>
        </w:rPr>
        <w:t xml:space="preserve"> </w:t>
      </w:r>
      <w:r w:rsidRPr="00122D55">
        <w:rPr>
          <w:rFonts w:eastAsia="Calibri"/>
          <w:lang w:val="en-US" w:eastAsia="en-US"/>
        </w:rPr>
        <w:t>describes bacteria species found in rotten canned herring  and their behavior towards salt and preservatives.</w:t>
      </w:r>
      <w:r>
        <w:rPr>
          <w:rFonts w:eastAsia="Calibri"/>
          <w:lang w:val="en-US" w:eastAsia="en-US"/>
        </w:rPr>
        <w:t xml:space="preserve"> </w:t>
      </w:r>
      <w:r w:rsidRPr="00122D55">
        <w:rPr>
          <w:rFonts w:eastAsia="Calibri"/>
          <w:lang w:val="en-US" w:eastAsia="en-US"/>
        </w:rPr>
        <w:t>The study does not provide information on the microbial degradation of sodium benzoate in sewage sludge</w:t>
      </w:r>
      <w:r>
        <w:rPr>
          <w:rFonts w:eastAsia="Calibri"/>
          <w:lang w:val="en-US" w:eastAsia="en-US"/>
        </w:rPr>
        <w:t>.</w:t>
      </w:r>
      <w:r w:rsidR="00146B78">
        <w:rPr>
          <w:rFonts w:eastAsia="Calibri"/>
          <w:lang w:val="en-US" w:eastAsia="en-US"/>
        </w:rPr>
        <w:t xml:space="preserve"> Hence, the study is not considered relevant for the PNEC derivation.</w:t>
      </w:r>
      <w:r w:rsidR="002E18E9" w:rsidRPr="002E18E9">
        <w:rPr>
          <w:rFonts w:eastAsia="Calibri"/>
          <w:lang w:eastAsia="en-US"/>
        </w:rPr>
        <w:t xml:space="preserve"> </w:t>
      </w:r>
    </w:p>
    <w:p w14:paraId="34C99F84" w14:textId="77777777" w:rsidR="00240FB8" w:rsidRDefault="00240FB8" w:rsidP="00122D55">
      <w:pPr>
        <w:contextualSpacing/>
        <w:jc w:val="both"/>
        <w:rPr>
          <w:rFonts w:eastAsia="Calibri"/>
          <w:lang w:val="en-US" w:eastAsia="en-US"/>
        </w:rPr>
      </w:pPr>
    </w:p>
    <w:p w14:paraId="35F95E33" w14:textId="77777777" w:rsidR="00574BC8" w:rsidRDefault="00122D55">
      <w:pPr>
        <w:contextualSpacing/>
        <w:jc w:val="both"/>
        <w:rPr>
          <w:rFonts w:eastAsia="Calibri"/>
          <w:lang w:eastAsia="en-US"/>
        </w:rPr>
      </w:pPr>
      <w:r>
        <w:rPr>
          <w:rFonts w:eastAsia="Calibri"/>
          <w:lang w:val="en-US" w:eastAsia="en-US"/>
        </w:rPr>
        <w:t xml:space="preserve">The PNEC was derived using only data from studies with reliability 1 or 2. The endpoints in bold </w:t>
      </w:r>
      <w:r w:rsidR="00C71D73">
        <w:rPr>
          <w:rFonts w:eastAsia="Calibri"/>
          <w:lang w:val="en-US" w:eastAsia="en-US"/>
        </w:rPr>
        <w:t xml:space="preserve">in the table </w:t>
      </w:r>
      <w:r w:rsidR="009C501F">
        <w:rPr>
          <w:rFonts w:eastAsia="Calibri"/>
          <w:lang w:val="en-US" w:eastAsia="en-US"/>
        </w:rPr>
        <w:t xml:space="preserve">above </w:t>
      </w:r>
      <w:r>
        <w:rPr>
          <w:rFonts w:eastAsia="Calibri"/>
          <w:lang w:val="en-US" w:eastAsia="en-US"/>
        </w:rPr>
        <w:t xml:space="preserve">were considered most relevant to derive the PNEC. </w:t>
      </w:r>
      <w:r w:rsidR="000B5D37">
        <w:rPr>
          <w:rFonts w:eastAsia="Calibri"/>
          <w:lang w:eastAsia="en-US"/>
        </w:rPr>
        <w:t>Acute aquatic toxicity data are available for all of the 3 trophic levels fish, aquatic invertebrates and algae. The L(E)C50 values derived from the key studies are 484 mg/L for fish, and above the highest tested</w:t>
      </w:r>
      <w:r w:rsidR="00070C43">
        <w:rPr>
          <w:rFonts w:eastAsia="Calibri"/>
          <w:lang w:eastAsia="en-US"/>
        </w:rPr>
        <w:t xml:space="preserve"> concentration in daphnids (&gt;142</w:t>
      </w:r>
      <w:r w:rsidR="000B5D37">
        <w:rPr>
          <w:rFonts w:eastAsia="Calibri"/>
          <w:lang w:eastAsia="en-US"/>
        </w:rPr>
        <w:t xml:space="preserve"> mg/L) and algae (&gt;30.5 mg/L). </w:t>
      </w:r>
      <w:r w:rsidR="00887A42">
        <w:rPr>
          <w:rFonts w:eastAsia="Calibri"/>
          <w:lang w:eastAsia="en-US"/>
        </w:rPr>
        <w:t>One chronic key study is available for daphnids (2</w:t>
      </w:r>
      <w:r w:rsidR="00070C43">
        <w:rPr>
          <w:rFonts w:eastAsia="Calibri"/>
          <w:lang w:eastAsia="en-US"/>
        </w:rPr>
        <w:t>9.</w:t>
      </w:r>
      <w:r w:rsidR="00887A42">
        <w:rPr>
          <w:rFonts w:eastAsia="Calibri"/>
          <w:lang w:eastAsia="en-US"/>
        </w:rPr>
        <w:t>5 mg/L).</w:t>
      </w:r>
    </w:p>
    <w:p w14:paraId="3A9F9CCD" w14:textId="77777777" w:rsidR="00574BC8" w:rsidRDefault="00574BC8">
      <w:pPr>
        <w:contextualSpacing/>
        <w:jc w:val="both"/>
        <w:rPr>
          <w:rFonts w:eastAsia="Calibri"/>
          <w:lang w:eastAsia="en-US"/>
        </w:rPr>
      </w:pPr>
    </w:p>
    <w:p w14:paraId="184F28E3" w14:textId="77777777" w:rsidR="00CF59EF" w:rsidRDefault="000B5D37">
      <w:pPr>
        <w:contextualSpacing/>
        <w:jc w:val="both"/>
        <w:rPr>
          <w:rFonts w:eastAsia="Calibri"/>
          <w:lang w:eastAsia="en-US"/>
        </w:rPr>
      </w:pPr>
      <w:r>
        <w:rPr>
          <w:rFonts w:eastAsia="Calibri"/>
          <w:lang w:eastAsia="en-US"/>
        </w:rPr>
        <w:lastRenderedPageBreak/>
        <w:t>All key acute toxicity values are based on measured concentrations</w:t>
      </w:r>
      <w:r w:rsidR="00131D42">
        <w:rPr>
          <w:rFonts w:eastAsia="Calibri"/>
          <w:lang w:eastAsia="en-US"/>
        </w:rPr>
        <w:t>, but the key chronic study is based on nominal concentrations (based on evaluation in the Assessment Report for benzoic acid (</w:t>
      </w:r>
      <w:r w:rsidR="00583DB8">
        <w:rPr>
          <w:rFonts w:eastAsia="Calibri"/>
          <w:lang w:eastAsia="en-US"/>
        </w:rPr>
        <w:t>2013)</w:t>
      </w:r>
      <w:r w:rsidR="00070C43">
        <w:rPr>
          <w:rFonts w:eastAsia="Calibri"/>
          <w:lang w:eastAsia="en-US"/>
        </w:rPr>
        <w:t>)</w:t>
      </w:r>
      <w:r>
        <w:rPr>
          <w:rFonts w:eastAsia="Calibri"/>
          <w:lang w:eastAsia="en-US"/>
        </w:rPr>
        <w:t xml:space="preserve">. </w:t>
      </w:r>
      <w:r w:rsidR="00574BC8">
        <w:rPr>
          <w:rFonts w:eastAsia="Calibri"/>
          <w:lang w:eastAsia="en-US"/>
        </w:rPr>
        <w:t xml:space="preserve">Various </w:t>
      </w:r>
      <w:r>
        <w:rPr>
          <w:rFonts w:eastAsia="Calibri"/>
          <w:lang w:eastAsia="en-US"/>
        </w:rPr>
        <w:t>toxicity stud</w:t>
      </w:r>
      <w:r w:rsidR="00574BC8">
        <w:rPr>
          <w:rFonts w:eastAsia="Calibri"/>
          <w:lang w:eastAsia="en-US"/>
        </w:rPr>
        <w:t>ies</w:t>
      </w:r>
      <w:r>
        <w:rPr>
          <w:rFonts w:eastAsia="Calibri"/>
          <w:lang w:eastAsia="en-US"/>
        </w:rPr>
        <w:t xml:space="preserve"> </w:t>
      </w:r>
      <w:r w:rsidR="00574BC8">
        <w:rPr>
          <w:rFonts w:eastAsia="Calibri"/>
          <w:lang w:eastAsia="en-US"/>
        </w:rPr>
        <w:t>were</w:t>
      </w:r>
      <w:r>
        <w:rPr>
          <w:rFonts w:eastAsia="Calibri"/>
          <w:lang w:eastAsia="en-US"/>
        </w:rPr>
        <w:t xml:space="preserve"> performed with the structural analogue benzoic acid (pH adjusted)</w:t>
      </w:r>
      <w:r w:rsidR="00122D55">
        <w:rPr>
          <w:rFonts w:eastAsia="Calibri"/>
          <w:lang w:eastAsia="en-US"/>
        </w:rPr>
        <w:t>,</w:t>
      </w:r>
      <w:r>
        <w:rPr>
          <w:rFonts w:eastAsia="Calibri"/>
          <w:lang w:eastAsia="en-US"/>
        </w:rPr>
        <w:t xml:space="preserve"> which is a precursor of sodium benzoate. </w:t>
      </w:r>
      <w:r w:rsidR="00070C43">
        <w:rPr>
          <w:rFonts w:eastAsia="Calibri"/>
          <w:lang w:eastAsia="en-US"/>
        </w:rPr>
        <w:t>T</w:t>
      </w:r>
      <w:r w:rsidR="00726AA0">
        <w:rPr>
          <w:rFonts w:eastAsia="Calibri"/>
          <w:lang w:eastAsia="en-US"/>
        </w:rPr>
        <w:t>he benzoic acid based endpoints were recalculated, considering the difference in molecular weight (122.12 g/mol for benzoic acid and 144.11 /mol for sodium benzoate).</w:t>
      </w:r>
    </w:p>
    <w:p w14:paraId="2FE039B9" w14:textId="77777777" w:rsidR="00CF59EF" w:rsidRDefault="00CF59EF">
      <w:pPr>
        <w:contextualSpacing/>
        <w:jc w:val="both"/>
        <w:rPr>
          <w:rFonts w:eastAsia="Calibri"/>
          <w:lang w:eastAsia="en-US"/>
        </w:rPr>
      </w:pPr>
    </w:p>
    <w:p w14:paraId="48133CF5" w14:textId="77777777" w:rsidR="00CF59EF" w:rsidRDefault="00583DB8" w:rsidP="00053DE1">
      <w:pPr>
        <w:contextualSpacing/>
        <w:jc w:val="both"/>
        <w:rPr>
          <w:rFonts w:eastAsia="Calibri"/>
          <w:lang w:eastAsia="en-US"/>
        </w:rPr>
      </w:pPr>
      <w:r>
        <w:rPr>
          <w:rFonts w:eastAsia="Calibri"/>
          <w:lang w:eastAsia="en-US"/>
        </w:rPr>
        <w:t xml:space="preserve">As the acute data do not clearly indicate that one trophic level is more sensitive (lowest values are higher-than-values), a test with invertebrates is considered sufficient for PNEC derivation. </w:t>
      </w:r>
      <w:r w:rsidR="000B5D37" w:rsidRPr="00DD1B9D">
        <w:rPr>
          <w:rFonts w:eastAsia="Calibri"/>
          <w:lang w:eastAsia="en-US"/>
        </w:rPr>
        <w:t xml:space="preserve">Based on an assessment factor of </w:t>
      </w:r>
      <w:r w:rsidR="00BD02D6" w:rsidRPr="00DD1B9D">
        <w:rPr>
          <w:rFonts w:eastAsia="Calibri"/>
          <w:lang w:eastAsia="en-US"/>
        </w:rPr>
        <w:t>100</w:t>
      </w:r>
      <w:r w:rsidR="000B5D37" w:rsidRPr="00DD1B9D">
        <w:rPr>
          <w:rFonts w:eastAsia="Calibri"/>
          <w:lang w:eastAsia="en-US"/>
        </w:rPr>
        <w:t>, th</w:t>
      </w:r>
      <w:r w:rsidR="009C501F" w:rsidRPr="00DD1B9D">
        <w:rPr>
          <w:rFonts w:eastAsia="Calibri"/>
          <w:lang w:eastAsia="en-US"/>
        </w:rPr>
        <w:t xml:space="preserve">e PNEC freshwater is </w:t>
      </w:r>
      <w:r w:rsidR="000B5D37" w:rsidRPr="00DD1B9D">
        <w:rPr>
          <w:rFonts w:eastAsia="Calibri"/>
          <w:lang w:eastAsia="en-US"/>
        </w:rPr>
        <w:t>0.</w:t>
      </w:r>
      <w:r w:rsidR="00B35EC7">
        <w:rPr>
          <w:rFonts w:eastAsia="Calibri"/>
          <w:lang w:eastAsia="en-US"/>
        </w:rPr>
        <w:t>30</w:t>
      </w:r>
      <w:r w:rsidR="000B5D37" w:rsidRPr="00DD1B9D">
        <w:rPr>
          <w:rFonts w:eastAsia="Calibri"/>
          <w:lang w:eastAsia="en-US"/>
        </w:rPr>
        <w:t xml:space="preserve"> mg</w:t>
      </w:r>
      <w:r w:rsidR="00F45232" w:rsidRPr="00DD1B9D">
        <w:rPr>
          <w:rFonts w:eastAsia="Calibri"/>
          <w:lang w:eastAsia="en-US"/>
        </w:rPr>
        <w:t xml:space="preserve"> sodium benzoate</w:t>
      </w:r>
      <w:r w:rsidR="001B5DD9" w:rsidRPr="00DD1B9D">
        <w:rPr>
          <w:rFonts w:eastAsia="Calibri"/>
          <w:lang w:eastAsia="en-US"/>
        </w:rPr>
        <w:t>/L</w:t>
      </w:r>
      <w:r w:rsidR="00574BC8" w:rsidRPr="00DD1B9D">
        <w:rPr>
          <w:rFonts w:eastAsia="Calibri"/>
          <w:lang w:eastAsia="en-US"/>
        </w:rPr>
        <w:t>.</w:t>
      </w:r>
      <w:r w:rsidR="000B5D37" w:rsidRPr="00DD1B9D">
        <w:rPr>
          <w:rFonts w:eastAsia="Calibri"/>
          <w:lang w:eastAsia="en-US"/>
        </w:rPr>
        <w:t xml:space="preserve"> </w:t>
      </w:r>
    </w:p>
    <w:p w14:paraId="2516592C" w14:textId="77777777" w:rsidR="00726AA0" w:rsidRPr="00DD1B9D" w:rsidRDefault="00726AA0" w:rsidP="00053DE1">
      <w:pPr>
        <w:contextualSpacing/>
        <w:jc w:val="both"/>
        <w:rPr>
          <w:rFonts w:eastAsia="Calibri"/>
          <w:lang w:eastAsia="en-US"/>
        </w:rPr>
      </w:pPr>
    </w:p>
    <w:p w14:paraId="6567C27A" w14:textId="77777777" w:rsidR="00CF59EF" w:rsidRDefault="000B5D37">
      <w:pPr>
        <w:contextualSpacing/>
        <w:jc w:val="both"/>
        <w:rPr>
          <w:rFonts w:eastAsia="Calibri"/>
          <w:lang w:eastAsia="en-US"/>
        </w:rPr>
      </w:pPr>
      <w:r w:rsidRPr="00DD1B9D">
        <w:rPr>
          <w:rFonts w:eastAsia="Calibri"/>
          <w:lang w:eastAsia="en-US"/>
        </w:rPr>
        <w:t>For microorganisms, a 3-h IC50 value of &gt;1</w:t>
      </w:r>
      <w:r w:rsidR="00070C43">
        <w:rPr>
          <w:rFonts w:eastAsia="Calibri"/>
          <w:lang w:eastAsia="en-US"/>
        </w:rPr>
        <w:t>180</w:t>
      </w:r>
      <w:r w:rsidRPr="00DD1B9D">
        <w:rPr>
          <w:rFonts w:eastAsia="Calibri"/>
          <w:lang w:eastAsia="en-US"/>
        </w:rPr>
        <w:t xml:space="preserve"> mg</w:t>
      </w:r>
      <w:r w:rsidR="00F45232" w:rsidRPr="00DD1B9D">
        <w:rPr>
          <w:rFonts w:eastAsia="Calibri"/>
          <w:lang w:eastAsia="en-US"/>
        </w:rPr>
        <w:t xml:space="preserve"> </w:t>
      </w:r>
      <w:r w:rsidR="00070C43">
        <w:rPr>
          <w:rFonts w:eastAsia="Calibri"/>
          <w:lang w:eastAsia="en-US"/>
        </w:rPr>
        <w:t>sodium benzoate</w:t>
      </w:r>
      <w:r w:rsidRPr="00DD1B9D">
        <w:rPr>
          <w:rFonts w:eastAsia="Calibri"/>
          <w:lang w:eastAsia="en-US"/>
        </w:rPr>
        <w:t xml:space="preserve">/L was determined in a study with the structural analogue benzoic acid. Based on an assessment factor of 100 for such available data, the </w:t>
      </w:r>
      <w:proofErr w:type="spellStart"/>
      <w:r w:rsidRPr="00DD1B9D">
        <w:rPr>
          <w:rFonts w:eastAsia="Calibri"/>
          <w:lang w:eastAsia="en-US"/>
        </w:rPr>
        <w:t>PNECstp</w:t>
      </w:r>
      <w:proofErr w:type="spellEnd"/>
      <w:r w:rsidRPr="00DD1B9D">
        <w:rPr>
          <w:rFonts w:eastAsia="Calibri"/>
          <w:lang w:eastAsia="en-US"/>
        </w:rPr>
        <w:t xml:space="preserve"> is </w:t>
      </w:r>
      <w:r w:rsidR="00A9679F" w:rsidRPr="00DD1B9D">
        <w:rPr>
          <w:rFonts w:eastAsia="Calibri"/>
          <w:lang w:eastAsia="en-US"/>
        </w:rPr>
        <w:t>11.8 mg sodium benzoate/L</w:t>
      </w:r>
      <w:r w:rsidRPr="00DD1B9D">
        <w:rPr>
          <w:rFonts w:eastAsia="Calibri"/>
          <w:lang w:eastAsia="en-US"/>
        </w:rPr>
        <w:t>.</w:t>
      </w:r>
    </w:p>
    <w:p w14:paraId="589CA5D3" w14:textId="77777777" w:rsidR="00CF59EF" w:rsidRDefault="00CF59EF">
      <w:pPr>
        <w:contextualSpacing/>
        <w:jc w:val="both"/>
        <w:rPr>
          <w:rFonts w:eastAsia="Calibri"/>
          <w:lang w:eastAsia="en-US"/>
        </w:rPr>
      </w:pPr>
    </w:p>
    <w:p w14:paraId="0C9271E3" w14:textId="77777777" w:rsidR="00CF59EF" w:rsidRDefault="000B5D37">
      <w:pPr>
        <w:contextualSpacing/>
        <w:jc w:val="both"/>
        <w:rPr>
          <w:rFonts w:eastAsia="Calibri"/>
          <w:lang w:eastAsia="en-US"/>
        </w:rPr>
      </w:pPr>
      <w:r>
        <w:rPr>
          <w:rFonts w:eastAsia="Calibri"/>
          <w:lang w:eastAsia="en-US"/>
        </w:rPr>
        <w:t>No experimental data on the toxicity to sediment and soil species is available for the substance and therefore PNECs are calculated using the equilibrium partitioning method (EPM)</w:t>
      </w:r>
      <w:r w:rsidR="008D3ACE">
        <w:rPr>
          <w:rFonts w:eastAsia="Calibri"/>
          <w:lang w:eastAsia="en-US"/>
        </w:rPr>
        <w:t xml:space="preserve"> and the PNEC for freshwater</w:t>
      </w:r>
      <w:r>
        <w:rPr>
          <w:rFonts w:eastAsia="Calibri"/>
          <w:lang w:eastAsia="en-US"/>
        </w:rPr>
        <w:t xml:space="preserve">. The PNEC for freshwater sediment is </w:t>
      </w:r>
      <w:r w:rsidR="007C53BC">
        <w:rPr>
          <w:rFonts w:eastAsia="Calibri"/>
          <w:lang w:eastAsia="en-US"/>
        </w:rPr>
        <w:t>0.</w:t>
      </w:r>
      <w:r w:rsidR="000008A9">
        <w:rPr>
          <w:rFonts w:eastAsia="Calibri"/>
          <w:lang w:eastAsia="en-US"/>
        </w:rPr>
        <w:t>23</w:t>
      </w:r>
      <w:r w:rsidR="007C53BC">
        <w:rPr>
          <w:rFonts w:eastAsia="Calibri"/>
          <w:lang w:eastAsia="en-US"/>
        </w:rPr>
        <w:t xml:space="preserve"> mg/kg sediment </w:t>
      </w:r>
      <w:proofErr w:type="spellStart"/>
      <w:r w:rsidR="007C53BC">
        <w:rPr>
          <w:rFonts w:eastAsia="Calibri"/>
          <w:lang w:eastAsia="en-US"/>
        </w:rPr>
        <w:t>ww</w:t>
      </w:r>
      <w:proofErr w:type="spellEnd"/>
      <w:r w:rsidR="007C53BC">
        <w:rPr>
          <w:rFonts w:eastAsia="Calibri"/>
          <w:lang w:eastAsia="en-US"/>
        </w:rPr>
        <w:t xml:space="preserve"> (</w:t>
      </w:r>
      <w:r w:rsidR="000008A9">
        <w:rPr>
          <w:rFonts w:eastAsia="Calibri"/>
          <w:lang w:eastAsia="en-US"/>
        </w:rPr>
        <w:t>1.1</w:t>
      </w:r>
      <w:r w:rsidR="007C53BC">
        <w:rPr>
          <w:rFonts w:eastAsia="Calibri"/>
          <w:lang w:eastAsia="en-US"/>
        </w:rPr>
        <w:t xml:space="preserve"> mg/kg </w:t>
      </w:r>
      <w:proofErr w:type="spellStart"/>
      <w:r w:rsidR="007C53BC">
        <w:rPr>
          <w:rFonts w:eastAsia="Calibri"/>
          <w:lang w:eastAsia="en-US"/>
        </w:rPr>
        <w:t>dw</w:t>
      </w:r>
      <w:proofErr w:type="spellEnd"/>
      <w:r w:rsidR="007C53BC">
        <w:rPr>
          <w:rFonts w:eastAsia="Calibri"/>
          <w:lang w:eastAsia="en-US"/>
        </w:rPr>
        <w:t>) and</w:t>
      </w:r>
      <w:r>
        <w:rPr>
          <w:rFonts w:eastAsia="Calibri"/>
          <w:lang w:eastAsia="en-US"/>
        </w:rPr>
        <w:t xml:space="preserve"> the PNEC for soil </w:t>
      </w:r>
      <w:r w:rsidR="007C53BC">
        <w:rPr>
          <w:rFonts w:eastAsia="Calibri"/>
          <w:lang w:eastAsia="en-US"/>
        </w:rPr>
        <w:t>0.0</w:t>
      </w:r>
      <w:r w:rsidR="000008A9">
        <w:rPr>
          <w:rFonts w:eastAsia="Calibri"/>
          <w:lang w:eastAsia="en-US"/>
        </w:rPr>
        <w:t>35</w:t>
      </w:r>
      <w:r w:rsidR="007C53BC">
        <w:rPr>
          <w:rFonts w:eastAsia="Calibri"/>
          <w:lang w:eastAsia="en-US"/>
        </w:rPr>
        <w:t xml:space="preserve"> mg/kg </w:t>
      </w:r>
      <w:proofErr w:type="spellStart"/>
      <w:r w:rsidR="007C53BC">
        <w:rPr>
          <w:rFonts w:eastAsia="Calibri"/>
          <w:lang w:eastAsia="en-US"/>
        </w:rPr>
        <w:t>ww</w:t>
      </w:r>
      <w:proofErr w:type="spellEnd"/>
      <w:r w:rsidR="007C53BC">
        <w:rPr>
          <w:rFonts w:eastAsia="Calibri"/>
          <w:lang w:eastAsia="en-US"/>
        </w:rPr>
        <w:t xml:space="preserve"> (0.0</w:t>
      </w:r>
      <w:r w:rsidR="000008A9">
        <w:rPr>
          <w:rFonts w:eastAsia="Calibri"/>
          <w:lang w:eastAsia="en-US"/>
        </w:rPr>
        <w:t>39</w:t>
      </w:r>
      <w:r>
        <w:rPr>
          <w:rFonts w:eastAsia="Calibri"/>
          <w:lang w:eastAsia="en-US"/>
        </w:rPr>
        <w:t xml:space="preserve"> mg/kg </w:t>
      </w:r>
      <w:proofErr w:type="spellStart"/>
      <w:r>
        <w:rPr>
          <w:rFonts w:eastAsia="Calibri"/>
          <w:lang w:eastAsia="en-US"/>
        </w:rPr>
        <w:t>dw</w:t>
      </w:r>
      <w:proofErr w:type="spellEnd"/>
      <w:r w:rsidR="007C53BC">
        <w:rPr>
          <w:rFonts w:eastAsia="Calibri"/>
          <w:lang w:eastAsia="en-US"/>
        </w:rPr>
        <w:t>)</w:t>
      </w:r>
      <w:r>
        <w:rPr>
          <w:rFonts w:eastAsia="Calibri"/>
          <w:lang w:eastAsia="en-US"/>
        </w:rPr>
        <w:t xml:space="preserve">. The </w:t>
      </w:r>
      <w:proofErr w:type="spellStart"/>
      <w:r>
        <w:rPr>
          <w:rFonts w:eastAsia="Calibri"/>
          <w:lang w:eastAsia="en-US"/>
        </w:rPr>
        <w:t>Koc</w:t>
      </w:r>
      <w:proofErr w:type="spellEnd"/>
      <w:r>
        <w:rPr>
          <w:rFonts w:eastAsia="Calibri"/>
          <w:lang w:eastAsia="en-US"/>
        </w:rPr>
        <w:t xml:space="preserve"> of 0.0172 L/kg is used in the equations (see also section 2.2.8.2 Exposure assessment).</w:t>
      </w:r>
    </w:p>
    <w:p w14:paraId="6927C9F5" w14:textId="77777777" w:rsidR="00CF59EF" w:rsidRDefault="00CF59EF">
      <w:pPr>
        <w:contextualSpacing/>
        <w:jc w:val="both"/>
        <w:rPr>
          <w:rFonts w:eastAsia="Calibri"/>
          <w:lang w:eastAsia="en-US"/>
        </w:rPr>
      </w:pPr>
    </w:p>
    <w:p w14:paraId="367BBA8F" w14:textId="77777777" w:rsidR="00CF59EF" w:rsidRDefault="000B5D37">
      <w:pPr>
        <w:contextualSpacing/>
        <w:jc w:val="both"/>
        <w:rPr>
          <w:rFonts w:eastAsia="Calibri"/>
          <w:lang w:eastAsia="en-US"/>
        </w:rPr>
      </w:pPr>
      <w:r>
        <w:rPr>
          <w:rFonts w:eastAsia="Calibri"/>
          <w:lang w:eastAsia="en-US"/>
        </w:rPr>
        <w:t xml:space="preserve">All relevant PNECs </w:t>
      </w:r>
      <w:r w:rsidR="00035748">
        <w:rPr>
          <w:rFonts w:eastAsia="Calibri"/>
          <w:lang w:eastAsia="en-US"/>
        </w:rPr>
        <w:t xml:space="preserve">for sodium benzoate </w:t>
      </w:r>
      <w:r>
        <w:rPr>
          <w:rFonts w:eastAsia="Calibri"/>
          <w:lang w:eastAsia="en-US"/>
        </w:rPr>
        <w:t>are presented in the table below:</w:t>
      </w:r>
    </w:p>
    <w:p w14:paraId="43B0D1C5" w14:textId="77777777" w:rsidR="00CF59EF" w:rsidRDefault="00CF59EF">
      <w:pPr>
        <w:contextualSpacing/>
        <w:jc w:val="both"/>
        <w:rPr>
          <w:rFonts w:eastAsia="Calibri"/>
          <w:i/>
          <w:lang w:eastAsia="en-US"/>
        </w:rPr>
      </w:pPr>
    </w:p>
    <w:tbl>
      <w:tblPr>
        <w:tblW w:w="9270" w:type="dxa"/>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1530"/>
        <w:gridCol w:w="2610"/>
        <w:gridCol w:w="5130"/>
      </w:tblGrid>
      <w:tr w:rsidR="00CF59EF" w14:paraId="64C16C2C" w14:textId="77777777">
        <w:tc>
          <w:tcPr>
            <w:tcW w:w="9270" w:type="dxa"/>
            <w:gridSpan w:val="3"/>
            <w:tcBorders>
              <w:top w:val="single" w:sz="4" w:space="0" w:color="000001"/>
              <w:left w:val="single" w:sz="4" w:space="0" w:color="000001"/>
              <w:bottom w:val="single" w:sz="4" w:space="0" w:color="000001"/>
              <w:right w:val="single" w:sz="4" w:space="0" w:color="000001"/>
            </w:tcBorders>
            <w:shd w:val="clear" w:color="auto" w:fill="FFFFCC"/>
            <w:tcMar>
              <w:left w:w="35" w:type="dxa"/>
            </w:tcMar>
          </w:tcPr>
          <w:p w14:paraId="716C59E4" w14:textId="77777777" w:rsidR="00CF59EF" w:rsidRDefault="000B5D37" w:rsidP="006B11A4">
            <w:pPr>
              <w:keepNext/>
              <w:rPr>
                <w:b/>
                <w:bCs/>
                <w:color w:val="000000"/>
                <w:sz w:val="18"/>
                <w:szCs w:val="18"/>
              </w:rPr>
            </w:pPr>
            <w:r>
              <w:rPr>
                <w:b/>
                <w:bCs/>
                <w:color w:val="000000"/>
                <w:sz w:val="18"/>
                <w:szCs w:val="18"/>
              </w:rPr>
              <w:t>Hazard assessment conclusion for the environment</w:t>
            </w:r>
          </w:p>
        </w:tc>
      </w:tr>
      <w:tr w:rsidR="00CF59EF" w14:paraId="2BF07C98" w14:textId="77777777">
        <w:tc>
          <w:tcPr>
            <w:tcW w:w="153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14:paraId="6B5FC6FF" w14:textId="77777777" w:rsidR="00CF59EF" w:rsidRDefault="000B5D37" w:rsidP="006B11A4">
            <w:pPr>
              <w:keepNext/>
              <w:rPr>
                <w:b/>
                <w:bCs/>
                <w:color w:val="000000"/>
                <w:sz w:val="18"/>
                <w:szCs w:val="18"/>
              </w:rPr>
            </w:pPr>
            <w:r>
              <w:rPr>
                <w:b/>
                <w:bCs/>
                <w:color w:val="000000"/>
                <w:sz w:val="18"/>
                <w:szCs w:val="18"/>
              </w:rPr>
              <w:t>Compartment</w:t>
            </w:r>
          </w:p>
        </w:tc>
        <w:tc>
          <w:tcPr>
            <w:tcW w:w="261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14:paraId="54621DDF" w14:textId="77777777" w:rsidR="00CF59EF" w:rsidRDefault="000B5D37" w:rsidP="006B11A4">
            <w:pPr>
              <w:keepNext/>
              <w:rPr>
                <w:b/>
                <w:bCs/>
                <w:color w:val="000000"/>
                <w:sz w:val="18"/>
                <w:szCs w:val="18"/>
              </w:rPr>
            </w:pPr>
            <w:r>
              <w:rPr>
                <w:b/>
                <w:bCs/>
                <w:color w:val="000000"/>
                <w:sz w:val="18"/>
                <w:szCs w:val="18"/>
              </w:rPr>
              <w:t>Hazard conclusion</w:t>
            </w:r>
          </w:p>
        </w:tc>
        <w:tc>
          <w:tcPr>
            <w:tcW w:w="513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14:paraId="5320C9F4" w14:textId="77777777" w:rsidR="00CF59EF" w:rsidRDefault="000B5D37" w:rsidP="006B11A4">
            <w:pPr>
              <w:keepNext/>
              <w:rPr>
                <w:b/>
                <w:bCs/>
                <w:color w:val="000000"/>
                <w:sz w:val="18"/>
                <w:szCs w:val="18"/>
              </w:rPr>
            </w:pPr>
            <w:r>
              <w:rPr>
                <w:b/>
                <w:bCs/>
                <w:color w:val="000000"/>
                <w:sz w:val="18"/>
                <w:szCs w:val="18"/>
              </w:rPr>
              <w:t>Remarks/Justification</w:t>
            </w:r>
          </w:p>
        </w:tc>
      </w:tr>
      <w:tr w:rsidR="00CF59EF" w14:paraId="1B533AA8" w14:textId="77777777">
        <w:trPr>
          <w:trHeight w:val="474"/>
        </w:trPr>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3E89CB9" w14:textId="77777777" w:rsidR="00CF59EF" w:rsidRDefault="000B5D37" w:rsidP="006B11A4">
            <w:pPr>
              <w:keepNext/>
              <w:rPr>
                <w:color w:val="000000"/>
                <w:sz w:val="18"/>
                <w:szCs w:val="18"/>
              </w:rPr>
            </w:pPr>
            <w:r>
              <w:rPr>
                <w:color w:val="000000"/>
                <w:sz w:val="18"/>
                <w:szCs w:val="18"/>
              </w:rPr>
              <w:t>Freshwater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DD14650" w14:textId="77777777" w:rsidR="00CF59EF" w:rsidRDefault="000B5D37" w:rsidP="006B11A4">
            <w:pPr>
              <w:keepNext/>
              <w:rPr>
                <w:color w:val="000000"/>
                <w:sz w:val="18"/>
                <w:szCs w:val="18"/>
              </w:rPr>
            </w:pPr>
            <w:r>
              <w:rPr>
                <w:color w:val="000000"/>
                <w:sz w:val="18"/>
                <w:szCs w:val="18"/>
              </w:rPr>
              <w:t xml:space="preserve">PNEC: </w:t>
            </w:r>
          </w:p>
          <w:p w14:paraId="7083547C" w14:textId="77777777" w:rsidR="00CF59EF" w:rsidRDefault="000B5D37" w:rsidP="006B11A4">
            <w:pPr>
              <w:keepNext/>
              <w:rPr>
                <w:color w:val="000000"/>
                <w:sz w:val="18"/>
                <w:szCs w:val="18"/>
              </w:rPr>
            </w:pPr>
            <w:r>
              <w:rPr>
                <w:color w:val="000000"/>
                <w:sz w:val="18"/>
                <w:szCs w:val="18"/>
              </w:rPr>
              <w:t>0.</w:t>
            </w:r>
            <w:r w:rsidR="00B35EC7">
              <w:rPr>
                <w:color w:val="000000"/>
                <w:sz w:val="18"/>
                <w:szCs w:val="18"/>
              </w:rPr>
              <w:t>30</w:t>
            </w:r>
            <w:r>
              <w:rPr>
                <w:color w:val="000000"/>
                <w:sz w:val="18"/>
                <w:szCs w:val="18"/>
              </w:rPr>
              <w:t xml:space="preserve"> mg/L</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94D08B0" w14:textId="77777777" w:rsidR="00CF59EF" w:rsidRDefault="00C44F87" w:rsidP="00127A11">
            <w:pPr>
              <w:keepNext/>
              <w:rPr>
                <w:color w:val="000000"/>
                <w:sz w:val="18"/>
                <w:szCs w:val="18"/>
              </w:rPr>
            </w:pPr>
            <w:r>
              <w:rPr>
                <w:color w:val="000000"/>
                <w:sz w:val="18"/>
                <w:szCs w:val="18"/>
              </w:rPr>
              <w:t xml:space="preserve">Acute </w:t>
            </w:r>
            <w:r w:rsidR="000B5D37">
              <w:rPr>
                <w:color w:val="000000"/>
                <w:sz w:val="18"/>
                <w:szCs w:val="18"/>
              </w:rPr>
              <w:t xml:space="preserve">toxicity data </w:t>
            </w:r>
            <w:r>
              <w:rPr>
                <w:color w:val="000000"/>
                <w:sz w:val="18"/>
                <w:szCs w:val="18"/>
              </w:rPr>
              <w:t>are</w:t>
            </w:r>
            <w:r w:rsidR="000B5D37">
              <w:rPr>
                <w:color w:val="000000"/>
                <w:sz w:val="18"/>
                <w:szCs w:val="18"/>
              </w:rPr>
              <w:t xml:space="preserve"> available at </w:t>
            </w:r>
            <w:r>
              <w:rPr>
                <w:color w:val="000000"/>
                <w:sz w:val="18"/>
                <w:szCs w:val="18"/>
              </w:rPr>
              <w:t>3</w:t>
            </w:r>
            <w:r w:rsidR="000B5D37">
              <w:rPr>
                <w:color w:val="000000"/>
                <w:sz w:val="18"/>
                <w:szCs w:val="18"/>
              </w:rPr>
              <w:t xml:space="preserve"> </w:t>
            </w:r>
            <w:r w:rsidR="000B5D37" w:rsidRPr="00C230B4">
              <w:rPr>
                <w:color w:val="000000"/>
                <w:sz w:val="18"/>
                <w:szCs w:val="18"/>
              </w:rPr>
              <w:t>trophic levels</w:t>
            </w:r>
            <w:r w:rsidR="00127A11">
              <w:rPr>
                <w:color w:val="000000"/>
                <w:sz w:val="18"/>
                <w:szCs w:val="18"/>
              </w:rPr>
              <w:t xml:space="preserve"> and one chronic study is available</w:t>
            </w:r>
            <w:r w:rsidR="000B5D37" w:rsidRPr="00C230B4">
              <w:rPr>
                <w:color w:val="000000"/>
                <w:sz w:val="18"/>
                <w:szCs w:val="18"/>
              </w:rPr>
              <w:t xml:space="preserve">. The </w:t>
            </w:r>
            <w:r w:rsidR="00127A11">
              <w:rPr>
                <w:color w:val="000000"/>
                <w:sz w:val="18"/>
                <w:szCs w:val="18"/>
              </w:rPr>
              <w:t xml:space="preserve">chronic endpoint is a NOEC of </w:t>
            </w:r>
            <w:r w:rsidR="000B5D37" w:rsidRPr="00C230B4">
              <w:rPr>
                <w:color w:val="000000"/>
                <w:sz w:val="18"/>
                <w:szCs w:val="18"/>
              </w:rPr>
              <w:t>.</w:t>
            </w:r>
            <w:r w:rsidR="000B5D37">
              <w:rPr>
                <w:color w:val="000000"/>
                <w:sz w:val="18"/>
                <w:szCs w:val="18"/>
              </w:rPr>
              <w:t xml:space="preserve"> Based on the available information, the assessment factor is </w:t>
            </w:r>
            <w:r>
              <w:rPr>
                <w:color w:val="000000"/>
                <w:sz w:val="18"/>
                <w:szCs w:val="18"/>
              </w:rPr>
              <w:t>100</w:t>
            </w:r>
            <w:r w:rsidR="000B5D37">
              <w:rPr>
                <w:color w:val="000000"/>
                <w:sz w:val="18"/>
                <w:szCs w:val="18"/>
              </w:rPr>
              <w:t>.</w:t>
            </w:r>
          </w:p>
        </w:tc>
      </w:tr>
      <w:tr w:rsidR="00CF59EF" w14:paraId="420D91DF" w14:textId="77777777" w:rsidTr="002002AB">
        <w:trPr>
          <w:trHeight w:val="189"/>
        </w:trPr>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2FDF61A" w14:textId="77777777" w:rsidR="00CF59EF" w:rsidRDefault="000B5D37" w:rsidP="006B11A4">
            <w:pPr>
              <w:keepNext/>
              <w:rPr>
                <w:color w:val="000000"/>
                <w:sz w:val="18"/>
                <w:szCs w:val="18"/>
              </w:rPr>
            </w:pPr>
            <w:r>
              <w:rPr>
                <w:color w:val="000000"/>
                <w:sz w:val="18"/>
                <w:szCs w:val="18"/>
              </w:rPr>
              <w:t>Marine 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3D730B1" w14:textId="77777777" w:rsidR="00CF59EF" w:rsidRDefault="007C53BC" w:rsidP="006B11A4">
            <w:pPr>
              <w:keepNext/>
              <w:rPr>
                <w:color w:val="000000"/>
                <w:sz w:val="18"/>
                <w:szCs w:val="18"/>
              </w:rPr>
            </w:pPr>
            <w:r>
              <w:rPr>
                <w:color w:val="000000"/>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3173C9B2" w14:textId="77777777" w:rsidR="00CF59EF" w:rsidRDefault="00B84DCA" w:rsidP="006B11A4">
            <w:pPr>
              <w:keepNext/>
              <w:rPr>
                <w:color w:val="000000"/>
                <w:sz w:val="18"/>
                <w:szCs w:val="18"/>
              </w:rPr>
            </w:pPr>
            <w:r>
              <w:rPr>
                <w:color w:val="000000"/>
                <w:sz w:val="18"/>
                <w:szCs w:val="18"/>
              </w:rPr>
              <w:t>The marine environment is not considered relevant for the exposure due to the intended use.</w:t>
            </w:r>
          </w:p>
        </w:tc>
      </w:tr>
      <w:tr w:rsidR="00CF59EF" w14:paraId="48D0B852"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DA1FA8B" w14:textId="77777777" w:rsidR="00CF59EF" w:rsidRDefault="000B5D37">
            <w:pPr>
              <w:widowControl w:val="0"/>
              <w:rPr>
                <w:color w:val="000000"/>
                <w:sz w:val="18"/>
                <w:szCs w:val="18"/>
              </w:rPr>
            </w:pPr>
            <w:r>
              <w:rPr>
                <w:color w:val="000000"/>
                <w:sz w:val="18"/>
                <w:szCs w:val="18"/>
              </w:rPr>
              <w:t>Sediments (freshwater)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A157ADD" w14:textId="77777777" w:rsidR="00CF59EF" w:rsidRDefault="000B5D37">
            <w:pPr>
              <w:widowControl w:val="0"/>
              <w:rPr>
                <w:color w:val="000000"/>
                <w:sz w:val="18"/>
                <w:szCs w:val="18"/>
              </w:rPr>
            </w:pPr>
            <w:r>
              <w:rPr>
                <w:color w:val="000000"/>
                <w:sz w:val="18"/>
                <w:szCs w:val="18"/>
              </w:rPr>
              <w:t>PNEC:</w:t>
            </w:r>
          </w:p>
          <w:p w14:paraId="55175E5B" w14:textId="77777777" w:rsidR="00CF59EF" w:rsidRDefault="000B5D37">
            <w:pPr>
              <w:widowControl w:val="0"/>
              <w:rPr>
                <w:color w:val="000000"/>
                <w:sz w:val="18"/>
                <w:szCs w:val="18"/>
              </w:rPr>
            </w:pPr>
            <w:r>
              <w:rPr>
                <w:color w:val="000000"/>
                <w:sz w:val="18"/>
                <w:szCs w:val="18"/>
              </w:rPr>
              <w:t>0.</w:t>
            </w:r>
            <w:r w:rsidR="000008A9">
              <w:rPr>
                <w:color w:val="000000"/>
                <w:sz w:val="18"/>
                <w:szCs w:val="18"/>
              </w:rPr>
              <w:t>23</w:t>
            </w:r>
            <w:r>
              <w:rPr>
                <w:color w:val="000000"/>
                <w:sz w:val="18"/>
                <w:szCs w:val="18"/>
              </w:rPr>
              <w:t xml:space="preserve"> mg/kg sediment </w:t>
            </w:r>
            <w:proofErr w:type="spellStart"/>
            <w:r w:rsidR="00CC740E">
              <w:rPr>
                <w:color w:val="000000"/>
                <w:sz w:val="18"/>
                <w:szCs w:val="18"/>
              </w:rPr>
              <w:t>w</w:t>
            </w:r>
            <w:r>
              <w:rPr>
                <w:color w:val="000000"/>
                <w:sz w:val="18"/>
                <w:szCs w:val="18"/>
              </w:rPr>
              <w:t>w</w:t>
            </w:r>
            <w:proofErr w:type="spellEnd"/>
          </w:p>
          <w:p w14:paraId="7C8B9C60" w14:textId="77777777" w:rsidR="00CF59EF" w:rsidRDefault="00CF59EF">
            <w:pPr>
              <w:widowControl w:val="0"/>
              <w:rPr>
                <w:color w:val="000000"/>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2FB0E7B" w14:textId="77777777" w:rsidR="00CF59EF" w:rsidRDefault="000B5D37">
            <w:pPr>
              <w:widowControl w:val="0"/>
              <w:rPr>
                <w:color w:val="000000"/>
                <w:sz w:val="18"/>
                <w:szCs w:val="18"/>
              </w:rPr>
            </w:pPr>
            <w:r>
              <w:rPr>
                <w:color w:val="000000"/>
                <w:sz w:val="18"/>
                <w:szCs w:val="18"/>
              </w:rPr>
              <w:t>No experimental data on sediment organisms is available. Therefore the PNEC for freshwater sediment is derived using the equilibrium partitioning method. In the calculation the PNEC for freshwater of 0.</w:t>
            </w:r>
            <w:r w:rsidR="000008A9">
              <w:rPr>
                <w:color w:val="000000"/>
                <w:sz w:val="18"/>
                <w:szCs w:val="18"/>
              </w:rPr>
              <w:t>30</w:t>
            </w:r>
            <w:r>
              <w:rPr>
                <w:color w:val="000000"/>
                <w:sz w:val="18"/>
                <w:szCs w:val="18"/>
              </w:rPr>
              <w:t xml:space="preserve"> mg/L and the adsorption coefficient (</w:t>
            </w:r>
            <w:proofErr w:type="spellStart"/>
            <w:r>
              <w:rPr>
                <w:color w:val="000000"/>
                <w:sz w:val="18"/>
                <w:szCs w:val="18"/>
              </w:rPr>
              <w:t>Koc</w:t>
            </w:r>
            <w:proofErr w:type="spellEnd"/>
            <w:r>
              <w:rPr>
                <w:color w:val="000000"/>
                <w:sz w:val="18"/>
                <w:szCs w:val="18"/>
              </w:rPr>
              <w:t>) of 0.01</w:t>
            </w:r>
            <w:r w:rsidR="001546FA">
              <w:rPr>
                <w:color w:val="000000"/>
                <w:sz w:val="18"/>
                <w:szCs w:val="18"/>
              </w:rPr>
              <w:t>8</w:t>
            </w:r>
            <w:r>
              <w:rPr>
                <w:color w:val="000000"/>
                <w:sz w:val="18"/>
                <w:szCs w:val="18"/>
              </w:rPr>
              <w:t xml:space="preserve"> L/kg are used. Related to </w:t>
            </w:r>
            <w:r w:rsidR="00E701D5">
              <w:rPr>
                <w:color w:val="000000"/>
                <w:sz w:val="18"/>
                <w:szCs w:val="18"/>
              </w:rPr>
              <w:t>dry</w:t>
            </w:r>
            <w:r>
              <w:rPr>
                <w:color w:val="000000"/>
                <w:sz w:val="18"/>
                <w:szCs w:val="18"/>
              </w:rPr>
              <w:t xml:space="preserve"> weight, the PNEC sediment is </w:t>
            </w:r>
            <w:r w:rsidR="000008A9">
              <w:rPr>
                <w:color w:val="000000"/>
                <w:sz w:val="18"/>
                <w:szCs w:val="18"/>
              </w:rPr>
              <w:t>1.1</w:t>
            </w:r>
            <w:r>
              <w:rPr>
                <w:color w:val="000000"/>
                <w:sz w:val="18"/>
                <w:szCs w:val="18"/>
              </w:rPr>
              <w:t xml:space="preserve"> mg/kg </w:t>
            </w:r>
            <w:proofErr w:type="spellStart"/>
            <w:r w:rsidR="00CC740E">
              <w:rPr>
                <w:color w:val="000000"/>
                <w:sz w:val="18"/>
                <w:szCs w:val="18"/>
              </w:rPr>
              <w:t>d</w:t>
            </w:r>
            <w:r>
              <w:rPr>
                <w:color w:val="000000"/>
                <w:sz w:val="18"/>
                <w:szCs w:val="18"/>
              </w:rPr>
              <w:t>w</w:t>
            </w:r>
            <w:proofErr w:type="spellEnd"/>
            <w:r>
              <w:rPr>
                <w:color w:val="000000"/>
                <w:sz w:val="18"/>
                <w:szCs w:val="18"/>
              </w:rPr>
              <w:t>.</w:t>
            </w:r>
          </w:p>
          <w:p w14:paraId="4467450C" w14:textId="77777777" w:rsidR="00CF59EF" w:rsidRDefault="00CC740E">
            <w:pPr>
              <w:widowControl w:val="0"/>
              <w:rPr>
                <w:color w:val="000000"/>
                <w:sz w:val="18"/>
                <w:szCs w:val="18"/>
              </w:rPr>
            </w:pPr>
            <w:r>
              <w:rPr>
                <w:color w:val="000000"/>
                <w:sz w:val="18"/>
                <w:szCs w:val="18"/>
              </w:rPr>
              <w:t>As both the PNEC</w:t>
            </w:r>
            <w:r w:rsidR="003736A5">
              <w:rPr>
                <w:color w:val="000000"/>
                <w:sz w:val="18"/>
                <w:szCs w:val="18"/>
              </w:rPr>
              <w:t xml:space="preserve"> for </w:t>
            </w:r>
            <w:r>
              <w:rPr>
                <w:color w:val="000000"/>
                <w:sz w:val="18"/>
                <w:szCs w:val="18"/>
              </w:rPr>
              <w:t>sediment and the PEC</w:t>
            </w:r>
            <w:r w:rsidR="003736A5">
              <w:rPr>
                <w:color w:val="000000"/>
                <w:sz w:val="18"/>
                <w:szCs w:val="18"/>
              </w:rPr>
              <w:t xml:space="preserve"> for </w:t>
            </w:r>
            <w:r>
              <w:rPr>
                <w:color w:val="000000"/>
                <w:sz w:val="18"/>
                <w:szCs w:val="18"/>
              </w:rPr>
              <w:t>sediment need to be derived by using equilibrium par</w:t>
            </w:r>
            <w:r w:rsidR="0053619A">
              <w:rPr>
                <w:color w:val="000000"/>
                <w:sz w:val="18"/>
                <w:szCs w:val="18"/>
              </w:rPr>
              <w:t>titioning with</w:t>
            </w:r>
            <w:r>
              <w:rPr>
                <w:color w:val="000000"/>
                <w:sz w:val="18"/>
                <w:szCs w:val="18"/>
              </w:rPr>
              <w:t xml:space="preserve"> freshwater data, the risk assessment for freshwater also covers the risks for the sediment compartment. </w:t>
            </w:r>
          </w:p>
        </w:tc>
      </w:tr>
      <w:tr w:rsidR="00CF59EF" w14:paraId="37BC02DF"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0A3C0F43" w14:textId="77777777" w:rsidR="00CF59EF" w:rsidRDefault="000B5D37">
            <w:pPr>
              <w:widowControl w:val="0"/>
              <w:rPr>
                <w:color w:val="000000"/>
                <w:sz w:val="18"/>
                <w:szCs w:val="18"/>
              </w:rPr>
            </w:pPr>
            <w:r>
              <w:rPr>
                <w:color w:val="000000"/>
                <w:sz w:val="18"/>
                <w:szCs w:val="18"/>
              </w:rPr>
              <w:t>Sediments (marine 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3D223F47" w14:textId="77777777" w:rsidR="00CF59EF" w:rsidRDefault="007C53BC">
            <w:pPr>
              <w:widowControl w:val="0"/>
              <w:rPr>
                <w:color w:val="000000"/>
                <w:sz w:val="18"/>
                <w:szCs w:val="18"/>
              </w:rPr>
            </w:pPr>
            <w:r>
              <w:rPr>
                <w:color w:val="000000"/>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5E25AA3" w14:textId="77777777" w:rsidR="00CF59EF" w:rsidRDefault="00B84DCA">
            <w:pPr>
              <w:widowControl w:val="0"/>
              <w:rPr>
                <w:color w:val="000000"/>
                <w:sz w:val="18"/>
                <w:szCs w:val="18"/>
              </w:rPr>
            </w:pPr>
            <w:r>
              <w:rPr>
                <w:color w:val="000000"/>
                <w:sz w:val="18"/>
                <w:szCs w:val="18"/>
              </w:rPr>
              <w:t>The marine environment is not considered relevant for the exposure due to the intended use.</w:t>
            </w:r>
          </w:p>
        </w:tc>
      </w:tr>
      <w:tr w:rsidR="00CF59EF" w14:paraId="5F6E0ED8"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42C6EED1" w14:textId="77777777" w:rsidR="00CF59EF" w:rsidRDefault="000B5D37">
            <w:pPr>
              <w:widowControl w:val="0"/>
              <w:rPr>
                <w:color w:val="000000"/>
                <w:sz w:val="18"/>
                <w:szCs w:val="18"/>
              </w:rPr>
            </w:pPr>
            <w:r>
              <w:rPr>
                <w:color w:val="000000"/>
                <w:sz w:val="18"/>
                <w:szCs w:val="18"/>
              </w:rPr>
              <w:t>Sewage treatment plant (STP)</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4C49E8A" w14:textId="77777777" w:rsidR="00CF59EF" w:rsidRPr="00035748" w:rsidRDefault="000B5D37">
            <w:pPr>
              <w:widowControl w:val="0"/>
              <w:rPr>
                <w:color w:val="000000"/>
                <w:sz w:val="18"/>
                <w:szCs w:val="18"/>
              </w:rPr>
            </w:pPr>
            <w:r w:rsidRPr="00035748">
              <w:rPr>
                <w:color w:val="000000"/>
                <w:sz w:val="18"/>
                <w:szCs w:val="18"/>
              </w:rPr>
              <w:t xml:space="preserve">PNEC: </w:t>
            </w:r>
          </w:p>
          <w:p w14:paraId="6603136F" w14:textId="77777777" w:rsidR="00CF59EF" w:rsidRDefault="00035748">
            <w:pPr>
              <w:widowControl w:val="0"/>
              <w:rPr>
                <w:color w:val="000000"/>
                <w:sz w:val="18"/>
                <w:szCs w:val="18"/>
              </w:rPr>
            </w:pPr>
            <w:r w:rsidRPr="00035748">
              <w:rPr>
                <w:color w:val="000000"/>
                <w:sz w:val="18"/>
                <w:szCs w:val="18"/>
              </w:rPr>
              <w:t>11.8</w:t>
            </w:r>
            <w:r w:rsidR="000B5D37" w:rsidRPr="00035748">
              <w:rPr>
                <w:color w:val="000000"/>
                <w:sz w:val="18"/>
                <w:szCs w:val="18"/>
              </w:rPr>
              <w:t xml:space="preserve"> mg/L</w:t>
            </w:r>
          </w:p>
          <w:p w14:paraId="1F0D7A78" w14:textId="77777777" w:rsidR="00CF59EF" w:rsidRDefault="00CF59EF">
            <w:pPr>
              <w:widowControl w:val="0"/>
              <w:rPr>
                <w:color w:val="000000"/>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63200BB5" w14:textId="77777777" w:rsidR="00CF59EF" w:rsidRDefault="000B5D37" w:rsidP="009C501F">
            <w:pPr>
              <w:widowControl w:val="0"/>
              <w:rPr>
                <w:color w:val="000000"/>
                <w:sz w:val="18"/>
                <w:szCs w:val="18"/>
              </w:rPr>
            </w:pPr>
            <w:r>
              <w:rPr>
                <w:color w:val="000000"/>
                <w:sz w:val="18"/>
                <w:szCs w:val="18"/>
              </w:rPr>
              <w:t>In an activated sludge respiration inhibition test an EC50 value of &gt;1000 mg</w:t>
            </w:r>
            <w:r w:rsidR="00035748">
              <w:rPr>
                <w:color w:val="000000"/>
                <w:sz w:val="18"/>
                <w:szCs w:val="18"/>
              </w:rPr>
              <w:t xml:space="preserve"> benzoic acid</w:t>
            </w:r>
            <w:r>
              <w:rPr>
                <w:color w:val="000000"/>
                <w:sz w:val="18"/>
                <w:szCs w:val="18"/>
              </w:rPr>
              <w:t>/L was determined. The assessment factor is 100.</w:t>
            </w:r>
            <w:r w:rsidR="00035748">
              <w:rPr>
                <w:color w:val="000000"/>
                <w:sz w:val="18"/>
                <w:szCs w:val="18"/>
              </w:rPr>
              <w:t xml:space="preserve"> This value was converted to sodium benzoate, based on molecular weights</w:t>
            </w:r>
          </w:p>
        </w:tc>
      </w:tr>
      <w:tr w:rsidR="00CF59EF" w14:paraId="6996BCF6"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C3C6A7C" w14:textId="77777777" w:rsidR="00CF59EF" w:rsidRDefault="000B5D37">
            <w:pPr>
              <w:widowControl w:val="0"/>
              <w:rPr>
                <w:sz w:val="18"/>
                <w:szCs w:val="18"/>
              </w:rPr>
            </w:pPr>
            <w:r>
              <w:rPr>
                <w:sz w:val="18"/>
                <w:szCs w:val="18"/>
              </w:rPr>
              <w:t>Soil</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54CDCDBE" w14:textId="77777777" w:rsidR="00CF59EF" w:rsidRDefault="000B5D37">
            <w:pPr>
              <w:widowControl w:val="0"/>
              <w:rPr>
                <w:sz w:val="18"/>
                <w:szCs w:val="18"/>
              </w:rPr>
            </w:pPr>
            <w:r>
              <w:rPr>
                <w:sz w:val="18"/>
                <w:szCs w:val="18"/>
              </w:rPr>
              <w:t xml:space="preserve">PNEC: </w:t>
            </w:r>
          </w:p>
          <w:p w14:paraId="765AE2CA" w14:textId="77777777" w:rsidR="00CF59EF" w:rsidRDefault="000B5D37">
            <w:pPr>
              <w:widowControl w:val="0"/>
              <w:rPr>
                <w:sz w:val="18"/>
                <w:szCs w:val="18"/>
              </w:rPr>
            </w:pPr>
            <w:r>
              <w:rPr>
                <w:sz w:val="18"/>
                <w:szCs w:val="18"/>
              </w:rPr>
              <w:t>0.0</w:t>
            </w:r>
            <w:r w:rsidR="00C44F87">
              <w:rPr>
                <w:sz w:val="18"/>
                <w:szCs w:val="18"/>
              </w:rPr>
              <w:t>3</w:t>
            </w:r>
            <w:r w:rsidR="00B35EC7">
              <w:rPr>
                <w:sz w:val="18"/>
                <w:szCs w:val="18"/>
              </w:rPr>
              <w:t>5</w:t>
            </w:r>
            <w:r>
              <w:rPr>
                <w:sz w:val="18"/>
                <w:szCs w:val="18"/>
              </w:rPr>
              <w:t xml:space="preserve"> mg/kg soil </w:t>
            </w:r>
            <w:proofErr w:type="spellStart"/>
            <w:r w:rsidR="00E701D5">
              <w:rPr>
                <w:sz w:val="18"/>
                <w:szCs w:val="18"/>
              </w:rPr>
              <w:t>w</w:t>
            </w:r>
            <w:r>
              <w:rPr>
                <w:sz w:val="18"/>
                <w:szCs w:val="18"/>
              </w:rPr>
              <w:t>w</w:t>
            </w:r>
            <w:proofErr w:type="spellEnd"/>
          </w:p>
          <w:p w14:paraId="17BB4763" w14:textId="77777777" w:rsidR="00CF59EF" w:rsidRDefault="00CF59EF">
            <w:pPr>
              <w:widowControl w:val="0"/>
              <w:rPr>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06AE58F1" w14:textId="77777777" w:rsidR="00CF59EF" w:rsidRDefault="000B5D37" w:rsidP="000008A9">
            <w:pPr>
              <w:widowControl w:val="0"/>
              <w:rPr>
                <w:color w:val="000000"/>
                <w:sz w:val="18"/>
                <w:szCs w:val="18"/>
              </w:rPr>
            </w:pPr>
            <w:r>
              <w:rPr>
                <w:color w:val="000000"/>
                <w:sz w:val="18"/>
                <w:szCs w:val="18"/>
              </w:rPr>
              <w:lastRenderedPageBreak/>
              <w:t xml:space="preserve">No experimental data on soil organisms </w:t>
            </w:r>
            <w:r w:rsidR="00C44F87">
              <w:rPr>
                <w:color w:val="000000"/>
                <w:sz w:val="18"/>
                <w:szCs w:val="18"/>
              </w:rPr>
              <w:t>are</w:t>
            </w:r>
            <w:r>
              <w:rPr>
                <w:color w:val="000000"/>
                <w:sz w:val="18"/>
                <w:szCs w:val="18"/>
              </w:rPr>
              <w:t xml:space="preserve"> available. Therefore the PNEC for soil is derived using the </w:t>
            </w:r>
            <w:r>
              <w:rPr>
                <w:color w:val="000000"/>
                <w:sz w:val="18"/>
                <w:szCs w:val="18"/>
              </w:rPr>
              <w:lastRenderedPageBreak/>
              <w:t>equilibrium partitioning method. In the calculation the PNEC for freshwater of 0.</w:t>
            </w:r>
            <w:r w:rsidR="00887A42">
              <w:rPr>
                <w:color w:val="000000"/>
                <w:sz w:val="18"/>
                <w:szCs w:val="18"/>
              </w:rPr>
              <w:t>30</w:t>
            </w:r>
            <w:r>
              <w:rPr>
                <w:color w:val="000000"/>
                <w:sz w:val="18"/>
                <w:szCs w:val="18"/>
              </w:rPr>
              <w:t xml:space="preserve"> mg/L, the adsorption coefficient (</w:t>
            </w:r>
            <w:proofErr w:type="spellStart"/>
            <w:r>
              <w:rPr>
                <w:color w:val="000000"/>
                <w:sz w:val="18"/>
                <w:szCs w:val="18"/>
              </w:rPr>
              <w:t>Koc</w:t>
            </w:r>
            <w:proofErr w:type="spellEnd"/>
            <w:r>
              <w:rPr>
                <w:color w:val="000000"/>
                <w:sz w:val="18"/>
                <w:szCs w:val="18"/>
              </w:rPr>
              <w:t>) of 0.01</w:t>
            </w:r>
            <w:r w:rsidR="001546FA">
              <w:rPr>
                <w:color w:val="000000"/>
                <w:sz w:val="18"/>
                <w:szCs w:val="18"/>
              </w:rPr>
              <w:t>8</w:t>
            </w:r>
            <w:r>
              <w:rPr>
                <w:color w:val="000000"/>
                <w:sz w:val="18"/>
                <w:szCs w:val="18"/>
              </w:rPr>
              <w:t xml:space="preserve"> L/kg, and the Henry's law constant of 3.76E-05 Pa·m³/mol (at 12 °C as calculated by EUSES) are used. Related to </w:t>
            </w:r>
            <w:r w:rsidR="00E701D5">
              <w:rPr>
                <w:color w:val="000000"/>
                <w:sz w:val="18"/>
                <w:szCs w:val="18"/>
              </w:rPr>
              <w:t>dry</w:t>
            </w:r>
            <w:r>
              <w:rPr>
                <w:color w:val="000000"/>
                <w:sz w:val="18"/>
                <w:szCs w:val="18"/>
              </w:rPr>
              <w:t xml:space="preserve"> weight, the PNEC</w:t>
            </w:r>
            <w:r w:rsidR="00E701D5">
              <w:rPr>
                <w:color w:val="000000"/>
                <w:sz w:val="18"/>
                <w:szCs w:val="18"/>
              </w:rPr>
              <w:t xml:space="preserve"> for</w:t>
            </w:r>
            <w:r>
              <w:rPr>
                <w:color w:val="000000"/>
                <w:sz w:val="18"/>
                <w:szCs w:val="18"/>
              </w:rPr>
              <w:t xml:space="preserve"> soil is 0.0</w:t>
            </w:r>
            <w:r w:rsidR="00D76085">
              <w:rPr>
                <w:color w:val="000000"/>
                <w:sz w:val="18"/>
                <w:szCs w:val="18"/>
              </w:rPr>
              <w:t>40</w:t>
            </w:r>
            <w:r>
              <w:rPr>
                <w:color w:val="000000"/>
                <w:sz w:val="18"/>
                <w:szCs w:val="18"/>
              </w:rPr>
              <w:t xml:space="preserve"> mg/kg </w:t>
            </w:r>
            <w:proofErr w:type="spellStart"/>
            <w:r w:rsidR="00E701D5">
              <w:rPr>
                <w:color w:val="000000"/>
                <w:sz w:val="18"/>
                <w:szCs w:val="18"/>
              </w:rPr>
              <w:t>d</w:t>
            </w:r>
            <w:r>
              <w:rPr>
                <w:color w:val="000000"/>
                <w:sz w:val="18"/>
                <w:szCs w:val="18"/>
              </w:rPr>
              <w:t>w</w:t>
            </w:r>
            <w:proofErr w:type="spellEnd"/>
            <w:r>
              <w:rPr>
                <w:color w:val="000000"/>
                <w:sz w:val="18"/>
                <w:szCs w:val="18"/>
              </w:rPr>
              <w:t>.</w:t>
            </w:r>
          </w:p>
        </w:tc>
      </w:tr>
      <w:tr w:rsidR="00CF59EF" w14:paraId="3B07208C"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56DC1809" w14:textId="77777777" w:rsidR="00CF59EF" w:rsidRDefault="000B5D37">
            <w:pPr>
              <w:widowControl w:val="0"/>
              <w:rPr>
                <w:sz w:val="18"/>
                <w:szCs w:val="18"/>
              </w:rPr>
            </w:pPr>
            <w:r>
              <w:rPr>
                <w:sz w:val="18"/>
                <w:szCs w:val="18"/>
              </w:rPr>
              <w:lastRenderedPageBreak/>
              <w:t>Air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5492F5F9" w14:textId="77777777" w:rsidR="00CF59EF" w:rsidRDefault="007C53BC">
            <w:pPr>
              <w:widowControl w:val="0"/>
              <w:rPr>
                <w:sz w:val="18"/>
                <w:szCs w:val="18"/>
              </w:rPr>
            </w:pPr>
            <w:r>
              <w:rPr>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24F33018" w14:textId="77777777" w:rsidR="00CF59EF" w:rsidRDefault="000B5D37">
            <w:pPr>
              <w:widowControl w:val="0"/>
              <w:rPr>
                <w:color w:val="000000"/>
                <w:sz w:val="18"/>
                <w:szCs w:val="18"/>
              </w:rPr>
            </w:pPr>
            <w:r>
              <w:rPr>
                <w:color w:val="000000"/>
                <w:sz w:val="18"/>
                <w:szCs w:val="18"/>
              </w:rPr>
              <w:t>Not assessed (no hazard identified)</w:t>
            </w:r>
          </w:p>
          <w:p w14:paraId="2088CC02" w14:textId="77777777" w:rsidR="00CF59EF" w:rsidRDefault="00CF59EF">
            <w:pPr>
              <w:widowControl w:val="0"/>
              <w:rPr>
                <w:color w:val="FF0000"/>
                <w:sz w:val="18"/>
                <w:szCs w:val="18"/>
              </w:rPr>
            </w:pPr>
          </w:p>
        </w:tc>
      </w:tr>
      <w:tr w:rsidR="00CF59EF" w14:paraId="2E6C0CB4" w14:textId="77777777">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1B788110" w14:textId="77777777" w:rsidR="00CF59EF" w:rsidRDefault="000B5D37">
            <w:pPr>
              <w:widowControl w:val="0"/>
              <w:rPr>
                <w:sz w:val="18"/>
                <w:szCs w:val="18"/>
              </w:rPr>
            </w:pPr>
            <w:r>
              <w:rPr>
                <w:sz w:val="18"/>
                <w:szCs w:val="18"/>
              </w:rPr>
              <w:t>Secondary poisoning</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8FC135B" w14:textId="77777777" w:rsidR="00CF59EF" w:rsidRDefault="007C53BC">
            <w:pPr>
              <w:widowControl w:val="0"/>
              <w:rPr>
                <w:sz w:val="18"/>
                <w:szCs w:val="18"/>
              </w:rPr>
            </w:pPr>
            <w:r>
              <w:rPr>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14:paraId="797F9460" w14:textId="77777777" w:rsidR="00CF59EF" w:rsidRDefault="00094C2E" w:rsidP="00B84DCA">
            <w:pPr>
              <w:widowControl w:val="0"/>
              <w:rPr>
                <w:color w:val="000000"/>
                <w:sz w:val="18"/>
                <w:szCs w:val="18"/>
              </w:rPr>
            </w:pPr>
            <w:r>
              <w:rPr>
                <w:color w:val="000000"/>
                <w:sz w:val="18"/>
                <w:szCs w:val="18"/>
              </w:rPr>
              <w:t>Not assessed (low</w:t>
            </w:r>
            <w:r w:rsidR="000B5D37">
              <w:rPr>
                <w:color w:val="000000"/>
                <w:sz w:val="18"/>
                <w:szCs w:val="18"/>
              </w:rPr>
              <w:t xml:space="preserve"> potential for bioaccumulation</w:t>
            </w:r>
            <w:r w:rsidR="00B84DCA" w:rsidRPr="002E18E9">
              <w:rPr>
                <w:color w:val="000000"/>
                <w:sz w:val="18"/>
                <w:szCs w:val="18"/>
              </w:rPr>
              <w:t>;</w:t>
            </w:r>
            <w:r w:rsidR="00B84DCA" w:rsidRPr="002E18E9">
              <w:rPr>
                <w:rFonts w:eastAsia="Calibri"/>
                <w:sz w:val="18"/>
                <w:szCs w:val="18"/>
                <w:lang w:eastAsia="en-US"/>
              </w:rPr>
              <w:t xml:space="preserve"> log </w:t>
            </w:r>
            <w:proofErr w:type="spellStart"/>
            <w:r w:rsidR="00B84DCA" w:rsidRPr="002E18E9">
              <w:rPr>
                <w:rFonts w:eastAsia="Calibri"/>
                <w:sz w:val="18"/>
                <w:szCs w:val="18"/>
                <w:lang w:eastAsia="en-US"/>
              </w:rPr>
              <w:t>Kow</w:t>
            </w:r>
            <w:proofErr w:type="spellEnd"/>
            <w:r w:rsidR="00B84DCA" w:rsidRPr="002E18E9">
              <w:rPr>
                <w:rFonts w:eastAsia="Calibri"/>
                <w:sz w:val="18"/>
                <w:szCs w:val="18"/>
                <w:lang w:eastAsia="en-US"/>
              </w:rPr>
              <w:t xml:space="preserve"> value is </w:t>
            </w:r>
            <w:r w:rsidR="00B84DCA" w:rsidRPr="002E18E9">
              <w:rPr>
                <w:rFonts w:eastAsia="Calibri"/>
                <w:sz w:val="18"/>
                <w:szCs w:val="18"/>
                <w:lang w:eastAsia="en-US"/>
              </w:rPr>
              <w:noBreakHyphen/>
              <w:t>2.27</w:t>
            </w:r>
            <w:r w:rsidR="000B5D37" w:rsidRPr="002E18E9">
              <w:rPr>
                <w:color w:val="000000"/>
                <w:sz w:val="18"/>
                <w:szCs w:val="18"/>
              </w:rPr>
              <w:t>)</w:t>
            </w:r>
          </w:p>
        </w:tc>
      </w:tr>
    </w:tbl>
    <w:p w14:paraId="0230298A" w14:textId="77777777" w:rsidR="00CF59EF" w:rsidRDefault="00CF59EF">
      <w:pPr>
        <w:rPr>
          <w:rFonts w:eastAsia="Calibri"/>
          <w:lang w:eastAsia="en-US"/>
        </w:rPr>
      </w:pPr>
    </w:p>
    <w:p w14:paraId="0CB645F0" w14:textId="77777777" w:rsidR="00CF59EF" w:rsidRDefault="000B5D37">
      <w:pPr>
        <w:rPr>
          <w:rFonts w:eastAsia="Calibri"/>
          <w:b/>
          <w:i/>
          <w:sz w:val="22"/>
          <w:szCs w:val="22"/>
          <w:lang w:eastAsia="en-US"/>
        </w:rPr>
      </w:pPr>
      <w:bookmarkStart w:id="1550" w:name="_Toc403472785"/>
      <w:bookmarkStart w:id="1551" w:name="_Toc389729100"/>
      <w:bookmarkEnd w:id="1550"/>
      <w:bookmarkEnd w:id="1551"/>
      <w:r>
        <w:rPr>
          <w:rFonts w:eastAsia="Calibri"/>
          <w:b/>
          <w:i/>
          <w:sz w:val="22"/>
          <w:szCs w:val="22"/>
          <w:lang w:eastAsia="en-US"/>
        </w:rPr>
        <w:t>Further Ecotoxicological studies</w:t>
      </w:r>
    </w:p>
    <w:p w14:paraId="47A5C183" w14:textId="77777777" w:rsidR="00CF59EF" w:rsidRDefault="00CF59EF">
      <w:pPr>
        <w:rPr>
          <w:rFonts w:ascii="Times New Roman" w:eastAsia="Calibri" w:hAnsi="Times New Roman"/>
          <w:i/>
          <w:iCs/>
          <w:lang w:eastAsia="en-US"/>
        </w:rPr>
      </w:pPr>
    </w:p>
    <w:p w14:paraId="3CFD8756" w14:textId="77777777" w:rsidR="00CF59EF" w:rsidRDefault="009C501F">
      <w:pPr>
        <w:rPr>
          <w:rFonts w:eastAsia="Calibri"/>
          <w:sz w:val="22"/>
          <w:szCs w:val="22"/>
          <w:lang w:eastAsia="en-US"/>
        </w:rPr>
      </w:pPr>
      <w:r>
        <w:rPr>
          <w:rFonts w:eastAsia="Calibri"/>
          <w:sz w:val="22"/>
          <w:szCs w:val="22"/>
          <w:lang w:eastAsia="en-US"/>
        </w:rPr>
        <w:t>Further data are</w:t>
      </w:r>
      <w:r w:rsidR="000B5D37">
        <w:rPr>
          <w:rFonts w:eastAsia="Calibri"/>
          <w:sz w:val="22"/>
          <w:szCs w:val="22"/>
          <w:lang w:eastAsia="en-US"/>
        </w:rPr>
        <w:t xml:space="preserve"> not available.</w:t>
      </w:r>
    </w:p>
    <w:p w14:paraId="653DC71B" w14:textId="77777777" w:rsidR="00CF59EF" w:rsidRDefault="00CF59EF">
      <w:pPr>
        <w:rPr>
          <w:rFonts w:eastAsia="Calibri"/>
          <w:sz w:val="22"/>
          <w:szCs w:val="22"/>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0725C5CA"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0E0C40FC" w14:textId="77777777" w:rsidR="00CF59EF" w:rsidRDefault="000B5D37">
            <w:pPr>
              <w:rPr>
                <w:rFonts w:eastAsia="Calibri"/>
                <w:b/>
                <w:lang w:val="en-US" w:eastAsia="da-DK"/>
              </w:rPr>
            </w:pPr>
            <w:r>
              <w:rPr>
                <w:rFonts w:eastAsia="Calibri"/>
                <w:b/>
                <w:lang w:eastAsia="en-US"/>
              </w:rPr>
              <w:t>Data waiving</w:t>
            </w:r>
          </w:p>
        </w:tc>
      </w:tr>
      <w:tr w:rsidR="00CF59EF" w14:paraId="1C9236AA"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17960"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A2B0B" w14:textId="77777777" w:rsidR="00CF59EF" w:rsidRDefault="000B5D37">
            <w:pPr>
              <w:rPr>
                <w:rFonts w:eastAsia="Calibri"/>
                <w:lang w:eastAsia="en-US"/>
              </w:rPr>
            </w:pPr>
            <w:r>
              <w:rPr>
                <w:rFonts w:eastAsia="Calibri"/>
                <w:lang w:eastAsia="en-US"/>
              </w:rPr>
              <w:t>No further data needed.</w:t>
            </w:r>
          </w:p>
        </w:tc>
      </w:tr>
      <w:tr w:rsidR="00CF59EF" w14:paraId="184CA643"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7E04A"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744A21" w14:textId="77777777" w:rsidR="00CF59EF" w:rsidRDefault="000B5D37" w:rsidP="009C501F">
            <w:pPr>
              <w:rPr>
                <w:rFonts w:eastAsia="Calibri"/>
                <w:lang w:eastAsia="en-US"/>
              </w:rPr>
            </w:pPr>
            <w:r>
              <w:rPr>
                <w:rFonts w:eastAsia="Calibri"/>
                <w:lang w:eastAsia="en-US"/>
              </w:rPr>
              <w:t>Data on fish (acute), daphnia (acute), algae and sewage sludge are available.</w:t>
            </w:r>
          </w:p>
        </w:tc>
      </w:tr>
    </w:tbl>
    <w:p w14:paraId="4F931CC0" w14:textId="77777777" w:rsidR="00CF59EF" w:rsidRPr="00F67FD6" w:rsidRDefault="00CF59EF">
      <w:pPr>
        <w:rPr>
          <w:rFonts w:ascii="Times New Roman" w:eastAsia="Calibri" w:hAnsi="Times New Roman"/>
          <w:iCs/>
          <w:lang w:eastAsia="en-US"/>
        </w:rPr>
      </w:pPr>
    </w:p>
    <w:p w14:paraId="59C2C55E" w14:textId="77777777" w:rsidR="004234C9" w:rsidRDefault="004234C9" w:rsidP="004234C9">
      <w:pPr>
        <w:rPr>
          <w:rFonts w:eastAsia="Calibri"/>
          <w:b/>
          <w:i/>
          <w:iCs/>
          <w:sz w:val="22"/>
          <w:szCs w:val="22"/>
          <w:lang w:eastAsia="en-US"/>
        </w:rPr>
      </w:pPr>
      <w:r>
        <w:rPr>
          <w:rFonts w:eastAsia="Calibri"/>
          <w:b/>
          <w:i/>
          <w:iCs/>
          <w:sz w:val="22"/>
          <w:szCs w:val="22"/>
          <w:lang w:eastAsia="en-US"/>
        </w:rPr>
        <w:t>Endocrine disruption</w:t>
      </w:r>
    </w:p>
    <w:p w14:paraId="201A9C43" w14:textId="77777777" w:rsidR="007F25FD" w:rsidRPr="007F25FD" w:rsidRDefault="007F25FD" w:rsidP="007F25FD">
      <w:pPr>
        <w:pStyle w:val="Column3"/>
        <w:ind w:left="0"/>
        <w:rPr>
          <w:rFonts w:ascii="Verdana" w:hAnsi="Verdana"/>
          <w:iCs/>
          <w:sz w:val="20"/>
          <w:lang w:eastAsia="de-DE"/>
        </w:rPr>
      </w:pPr>
      <w:r w:rsidRPr="007F25FD">
        <w:rPr>
          <w:rFonts w:ascii="Verdana" w:hAnsi="Verdana"/>
          <w:iCs/>
          <w:sz w:val="20"/>
          <w:lang w:eastAsia="de-DE"/>
        </w:rPr>
        <w:t xml:space="preserve">Not relevant because </w:t>
      </w:r>
      <w:proofErr w:type="spellStart"/>
      <w:r w:rsidRPr="007F25FD">
        <w:rPr>
          <w:rFonts w:ascii="Verdana" w:hAnsi="Verdana"/>
          <w:iCs/>
          <w:sz w:val="20"/>
          <w:lang w:eastAsia="de-DE"/>
        </w:rPr>
        <w:t>Kalaguard</w:t>
      </w:r>
      <w:proofErr w:type="spellEnd"/>
      <w:r w:rsidRPr="007F25FD">
        <w:rPr>
          <w:rFonts w:ascii="Verdana" w:hAnsi="Verdana"/>
          <w:iCs/>
          <w:sz w:val="20"/>
          <w:lang w:eastAsia="de-DE"/>
        </w:rPr>
        <w:t xml:space="preserve">® SB only contains the active substance sodium benzoate, which has been approved for annex I inclusion, and no co-formulants. </w:t>
      </w:r>
    </w:p>
    <w:p w14:paraId="37E98C82" w14:textId="77777777" w:rsidR="00B72A09" w:rsidRDefault="00B72A09"/>
    <w:p w14:paraId="15C02CB9" w14:textId="77777777" w:rsidR="004234C9" w:rsidRPr="00866DEA" w:rsidRDefault="004234C9"/>
    <w:p w14:paraId="0880725A" w14:textId="77777777" w:rsidR="00CF59EF" w:rsidRDefault="000B5D37">
      <w:pPr>
        <w:rPr>
          <w:rFonts w:eastAsia="Calibri"/>
          <w:b/>
          <w:i/>
          <w:sz w:val="22"/>
          <w:szCs w:val="22"/>
          <w:lang w:eastAsia="en-US"/>
        </w:rPr>
      </w:pPr>
      <w:bookmarkStart w:id="1552" w:name="_Toc403472786"/>
      <w:bookmarkStart w:id="1553" w:name="_Toc389729101"/>
      <w:bookmarkEnd w:id="1552"/>
      <w:bookmarkEnd w:id="1553"/>
      <w:r>
        <w:rPr>
          <w:rFonts w:eastAsia="Calibri"/>
          <w:b/>
          <w:i/>
          <w:sz w:val="22"/>
          <w:szCs w:val="22"/>
          <w:lang w:eastAsia="en-US"/>
        </w:rPr>
        <w:t>Effects on any other specific, non-target organisms (flora and fauna) believed to be at risk (ADS)</w:t>
      </w:r>
    </w:p>
    <w:p w14:paraId="42AFA290" w14:textId="77777777" w:rsidR="00CF59EF" w:rsidRDefault="00CF59EF">
      <w:pPr>
        <w:rPr>
          <w:rFonts w:ascii="Times New Roman" w:eastAsia="Calibri" w:hAnsi="Times New Roman"/>
          <w:i/>
          <w:iCs/>
          <w:lang w:eastAsia="en-US"/>
        </w:rPr>
      </w:pPr>
    </w:p>
    <w:p w14:paraId="66FC4D2B" w14:textId="77777777"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14:paraId="7829692C"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1A9719F3"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67B4B52B" w14:textId="77777777" w:rsidR="00CF59EF" w:rsidRDefault="000B5D37">
            <w:pPr>
              <w:rPr>
                <w:rFonts w:eastAsia="Calibri"/>
                <w:b/>
                <w:lang w:val="en-US" w:eastAsia="da-DK"/>
              </w:rPr>
            </w:pPr>
            <w:r>
              <w:rPr>
                <w:rFonts w:eastAsia="Calibri"/>
                <w:b/>
                <w:lang w:eastAsia="en-US"/>
              </w:rPr>
              <w:t>Data waiving</w:t>
            </w:r>
          </w:p>
        </w:tc>
      </w:tr>
      <w:tr w:rsidR="00CF59EF" w14:paraId="7BC70E66"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B4543"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CE7D7" w14:textId="77777777" w:rsidR="00CF59EF" w:rsidRDefault="000B5D37">
            <w:pPr>
              <w:rPr>
                <w:rFonts w:eastAsia="Calibri"/>
                <w:lang w:eastAsia="en-US"/>
              </w:rPr>
            </w:pPr>
            <w:r>
              <w:rPr>
                <w:rFonts w:eastAsia="Calibri"/>
                <w:lang w:eastAsia="en-US"/>
              </w:rPr>
              <w:t>Data not needed</w:t>
            </w:r>
          </w:p>
        </w:tc>
      </w:tr>
      <w:tr w:rsidR="00CF59EF" w14:paraId="0A9B1B72"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06375"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4317B" w14:textId="77777777" w:rsidR="00CF59EF" w:rsidRDefault="000B5D37" w:rsidP="00306980">
            <w:pPr>
              <w:rPr>
                <w:rFonts w:eastAsia="Calibri"/>
                <w:lang w:eastAsia="en-US"/>
              </w:rPr>
            </w:pPr>
            <w:r>
              <w:rPr>
                <w:rFonts w:eastAsia="Calibri"/>
                <w:lang w:eastAsia="en-US"/>
              </w:rPr>
              <w:t xml:space="preserve">The primary receiving compartment is the sewage treatment plant (STP), after which the aquatic compartment may be exposed. The </w:t>
            </w:r>
            <w:r w:rsidR="00306980">
              <w:rPr>
                <w:rFonts w:eastAsia="Calibri"/>
                <w:lang w:eastAsia="en-US"/>
              </w:rPr>
              <w:t xml:space="preserve">bioaccumulation potential of the </w:t>
            </w:r>
            <w:r>
              <w:rPr>
                <w:rFonts w:eastAsia="Calibri"/>
                <w:lang w:eastAsia="en-US"/>
              </w:rPr>
              <w:t>substance is expected to</w:t>
            </w:r>
            <w:r w:rsidR="00306980">
              <w:rPr>
                <w:rFonts w:eastAsia="Calibri"/>
                <w:lang w:eastAsia="en-US"/>
              </w:rPr>
              <w:t xml:space="preserve"> be low</w:t>
            </w:r>
            <w:r>
              <w:rPr>
                <w:rFonts w:eastAsia="Calibri"/>
                <w:lang w:eastAsia="en-US"/>
              </w:rPr>
              <w:t xml:space="preserve">, as the </w:t>
            </w:r>
            <w:proofErr w:type="spellStart"/>
            <w:r>
              <w:rPr>
                <w:rFonts w:eastAsia="Calibri"/>
                <w:lang w:eastAsia="en-US"/>
              </w:rPr>
              <w:t>Kow</w:t>
            </w:r>
            <w:proofErr w:type="spellEnd"/>
            <w:r>
              <w:rPr>
                <w:rFonts w:eastAsia="Calibri"/>
                <w:lang w:eastAsia="en-US"/>
              </w:rPr>
              <w:t xml:space="preserve"> and </w:t>
            </w:r>
            <w:proofErr w:type="spellStart"/>
            <w:r>
              <w:rPr>
                <w:rFonts w:eastAsia="Calibri"/>
                <w:lang w:eastAsia="en-US"/>
              </w:rPr>
              <w:t>Koc</w:t>
            </w:r>
            <w:proofErr w:type="spellEnd"/>
            <w:r>
              <w:rPr>
                <w:rFonts w:eastAsia="Calibri"/>
                <w:lang w:eastAsia="en-US"/>
              </w:rPr>
              <w:t xml:space="preserve"> are very low, and therefore the risk assessment for the aquatic compartment is considered to also be protective of the sediment compartment. The soil compartment may also be exposed when sewage sludge is applied to the soil and a PNEC can be calculated using the equilibrium partitioning method. Hence, the available data on toxicity to activated sludge and aquatic organisms are sufficient for the risk assessment.</w:t>
            </w:r>
          </w:p>
        </w:tc>
      </w:tr>
    </w:tbl>
    <w:p w14:paraId="7B789D22" w14:textId="77777777" w:rsidR="00CF59EF" w:rsidRDefault="00CF59EF">
      <w:pPr>
        <w:rPr>
          <w:rFonts w:eastAsia="Calibri"/>
          <w:lang w:eastAsia="en-US"/>
        </w:rPr>
      </w:pPr>
    </w:p>
    <w:p w14:paraId="5D310E72" w14:textId="77777777" w:rsidR="00CF59EF" w:rsidRDefault="000B5D37">
      <w:pPr>
        <w:jc w:val="both"/>
        <w:rPr>
          <w:rFonts w:eastAsia="Calibri"/>
          <w:b/>
          <w:i/>
          <w:sz w:val="22"/>
          <w:szCs w:val="22"/>
          <w:lang w:eastAsia="en-US"/>
        </w:rPr>
      </w:pPr>
      <w:bookmarkStart w:id="1554" w:name="_Toc403472787"/>
      <w:bookmarkStart w:id="1555" w:name="_Toc389729102"/>
      <w:bookmarkEnd w:id="1554"/>
      <w:bookmarkEnd w:id="1555"/>
      <w:r>
        <w:rPr>
          <w:rFonts w:eastAsia="Calibri"/>
          <w:b/>
          <w:i/>
          <w:sz w:val="22"/>
          <w:szCs w:val="22"/>
          <w:lang w:eastAsia="en-US"/>
        </w:rPr>
        <w:t>Supervised trials to assess risks to non-target organisms under field conditions</w:t>
      </w:r>
    </w:p>
    <w:p w14:paraId="3E04173C" w14:textId="77777777" w:rsidR="00CF59EF" w:rsidRDefault="00CF59EF">
      <w:pPr>
        <w:rPr>
          <w:rFonts w:ascii="Times New Roman" w:eastAsia="Calibri" w:hAnsi="Times New Roman"/>
          <w:i/>
          <w:iCs/>
          <w:lang w:eastAsia="en-US"/>
        </w:rPr>
      </w:pPr>
    </w:p>
    <w:p w14:paraId="3DFC413F" w14:textId="77777777"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14:paraId="115FEFAC"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7723A852"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287A4E89" w14:textId="77777777" w:rsidR="00CF59EF" w:rsidRDefault="000B5D37">
            <w:pPr>
              <w:rPr>
                <w:rFonts w:eastAsia="Calibri"/>
                <w:b/>
                <w:lang w:val="en-US" w:eastAsia="da-DK"/>
              </w:rPr>
            </w:pPr>
            <w:r>
              <w:rPr>
                <w:rFonts w:eastAsia="Calibri"/>
                <w:b/>
                <w:lang w:eastAsia="en-US"/>
              </w:rPr>
              <w:t>Data waiving</w:t>
            </w:r>
          </w:p>
        </w:tc>
      </w:tr>
      <w:tr w:rsidR="00CF59EF" w14:paraId="161B8807"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D47BA"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580D0" w14:textId="77777777" w:rsidR="00CF59EF" w:rsidRDefault="000B5D37">
            <w:pPr>
              <w:rPr>
                <w:rFonts w:eastAsia="Calibri"/>
                <w:lang w:eastAsia="en-US"/>
              </w:rPr>
            </w:pPr>
            <w:r>
              <w:rPr>
                <w:rFonts w:eastAsia="Calibri"/>
                <w:lang w:eastAsia="en-US"/>
              </w:rPr>
              <w:t>Data not needed</w:t>
            </w:r>
          </w:p>
        </w:tc>
      </w:tr>
      <w:tr w:rsidR="00CF59EF" w14:paraId="004345B7"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E2D90" w14:textId="77777777" w:rsidR="00CF59EF" w:rsidRDefault="000B5D37">
            <w:pPr>
              <w:rPr>
                <w:rFonts w:eastAsia="Calibri"/>
                <w:lang w:eastAsia="en-US"/>
              </w:rPr>
            </w:pPr>
            <w:r>
              <w:rPr>
                <w:rFonts w:eastAsia="Calibri"/>
                <w:lang w:eastAsia="en-US"/>
              </w:rPr>
              <w:lastRenderedPageBreak/>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6CFEC" w14:textId="77777777"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not bait or granular formulation, and </w:t>
            </w:r>
            <w:r w:rsidR="009C501F">
              <w:rPr>
                <w:rFonts w:eastAsia="Calibri"/>
                <w:lang w:eastAsia="en-US"/>
              </w:rPr>
              <w:t>is</w:t>
            </w:r>
            <w:r>
              <w:rPr>
                <w:rFonts w:eastAsia="Calibri"/>
                <w:lang w:eastAsia="en-US"/>
              </w:rPr>
              <w:t xml:space="preserve"> intended for use indoors. Therefore, direct exposure to non-target organisms under field conditions is not expected.</w:t>
            </w:r>
          </w:p>
        </w:tc>
      </w:tr>
    </w:tbl>
    <w:p w14:paraId="2FD61AB4" w14:textId="77777777" w:rsidR="00CF59EF" w:rsidRDefault="00CF59EF">
      <w:pPr>
        <w:rPr>
          <w:rFonts w:ascii="Times New Roman" w:eastAsia="Calibri" w:hAnsi="Times New Roman"/>
          <w:i/>
          <w:iCs/>
          <w:lang w:eastAsia="en-US"/>
        </w:rPr>
      </w:pPr>
    </w:p>
    <w:p w14:paraId="43CB3F16" w14:textId="77777777" w:rsidR="00CF59EF" w:rsidRDefault="000B5D37">
      <w:pPr>
        <w:jc w:val="both"/>
        <w:rPr>
          <w:rFonts w:eastAsia="Calibri"/>
          <w:b/>
          <w:i/>
          <w:sz w:val="22"/>
          <w:szCs w:val="22"/>
          <w:lang w:eastAsia="en-US"/>
        </w:rPr>
      </w:pPr>
      <w:bookmarkStart w:id="1556" w:name="_Toc403472788"/>
      <w:bookmarkStart w:id="1557" w:name="_Toc389729103"/>
      <w:bookmarkEnd w:id="1556"/>
      <w:bookmarkEnd w:id="1557"/>
      <w:r>
        <w:rPr>
          <w:rFonts w:eastAsia="Calibri"/>
          <w:b/>
          <w:i/>
          <w:sz w:val="22"/>
          <w:szCs w:val="22"/>
          <w:lang w:eastAsia="en-US"/>
        </w:rPr>
        <w:t>Studies on acceptance by ingestion of the biocidal product by any non-target organisms thought to be at risk</w:t>
      </w:r>
    </w:p>
    <w:p w14:paraId="67401318" w14:textId="77777777" w:rsidR="00CF59EF" w:rsidRDefault="00CF59EF">
      <w:pPr>
        <w:rPr>
          <w:rFonts w:eastAsia="Calibri"/>
          <w:b/>
          <w:i/>
          <w:sz w:val="22"/>
          <w:szCs w:val="22"/>
          <w:lang w:eastAsia="en-US"/>
        </w:rPr>
      </w:pPr>
    </w:p>
    <w:p w14:paraId="20297356" w14:textId="77777777"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14:paraId="713A6821"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385C7938"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68B9BB8A" w14:textId="77777777" w:rsidR="00CF59EF" w:rsidRDefault="000B5D37">
            <w:pPr>
              <w:rPr>
                <w:rFonts w:eastAsia="Calibri"/>
                <w:b/>
                <w:lang w:val="en-US" w:eastAsia="da-DK"/>
              </w:rPr>
            </w:pPr>
            <w:r>
              <w:rPr>
                <w:rFonts w:eastAsia="Calibri"/>
                <w:b/>
                <w:lang w:eastAsia="en-US"/>
              </w:rPr>
              <w:t>Data waiving</w:t>
            </w:r>
          </w:p>
        </w:tc>
      </w:tr>
      <w:tr w:rsidR="00CF59EF" w14:paraId="4B1A7C8C"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33C40"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4B3418" w14:textId="77777777" w:rsidR="00CF59EF" w:rsidRDefault="000B5D37">
            <w:pPr>
              <w:rPr>
                <w:rFonts w:eastAsia="Calibri"/>
                <w:lang w:eastAsia="en-US"/>
              </w:rPr>
            </w:pPr>
            <w:r>
              <w:rPr>
                <w:rFonts w:eastAsia="Calibri"/>
                <w:lang w:eastAsia="en-US"/>
              </w:rPr>
              <w:t>Data not needed</w:t>
            </w:r>
          </w:p>
        </w:tc>
      </w:tr>
      <w:tr w:rsidR="00CF59EF" w14:paraId="75507B31"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8DC0D"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ECCB9" w14:textId="77777777"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not bait or granular formulation and is intended for use indoors. Therefore, direct exposure to non-target organisms is not expected.</w:t>
            </w:r>
          </w:p>
        </w:tc>
      </w:tr>
    </w:tbl>
    <w:p w14:paraId="2B930A87" w14:textId="77777777" w:rsidR="00CF59EF" w:rsidRDefault="00CF59EF">
      <w:pPr>
        <w:rPr>
          <w:rFonts w:ascii="Times New Roman" w:eastAsia="Calibri" w:hAnsi="Times New Roman"/>
          <w:i/>
          <w:iCs/>
          <w:lang w:eastAsia="en-US"/>
        </w:rPr>
      </w:pPr>
    </w:p>
    <w:p w14:paraId="43079D1B" w14:textId="77777777" w:rsidR="00CF59EF" w:rsidRDefault="000B5D37">
      <w:pPr>
        <w:jc w:val="both"/>
        <w:rPr>
          <w:rFonts w:eastAsia="Calibri"/>
          <w:b/>
          <w:i/>
          <w:sz w:val="22"/>
          <w:szCs w:val="22"/>
          <w:lang w:eastAsia="en-US"/>
        </w:rPr>
      </w:pPr>
      <w:bookmarkStart w:id="1558" w:name="_Toc403472789"/>
      <w:bookmarkStart w:id="1559" w:name="_Toc389729104"/>
      <w:bookmarkEnd w:id="1558"/>
      <w:bookmarkEnd w:id="1559"/>
      <w:r>
        <w:rPr>
          <w:rFonts w:eastAsia="Calibri"/>
          <w:b/>
          <w:i/>
          <w:sz w:val="22"/>
          <w:szCs w:val="22"/>
          <w:lang w:eastAsia="en-US"/>
        </w:rPr>
        <w:t>Secondary ecological effect e.g. when a large proportion of a specific habitat type is treated (ADS)</w:t>
      </w:r>
    </w:p>
    <w:p w14:paraId="1622FA44" w14:textId="77777777" w:rsidR="00CF59EF" w:rsidRDefault="00CF59EF">
      <w:pPr>
        <w:rPr>
          <w:rFonts w:eastAsia="Calibri"/>
          <w:lang w:eastAsia="en-US"/>
        </w:rPr>
      </w:pPr>
    </w:p>
    <w:p w14:paraId="56E7B3EE" w14:textId="77777777"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14:paraId="11EE9844"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7C00546A"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09542446" w14:textId="77777777" w:rsidR="00CF59EF" w:rsidRDefault="000B5D37">
            <w:pPr>
              <w:rPr>
                <w:rFonts w:eastAsia="Calibri"/>
                <w:b/>
                <w:lang w:val="en-US" w:eastAsia="da-DK"/>
              </w:rPr>
            </w:pPr>
            <w:r>
              <w:rPr>
                <w:rFonts w:eastAsia="Calibri"/>
                <w:b/>
                <w:lang w:eastAsia="en-US"/>
              </w:rPr>
              <w:t>Data waiving</w:t>
            </w:r>
          </w:p>
        </w:tc>
      </w:tr>
      <w:tr w:rsidR="00CF59EF" w14:paraId="4DF38DF9"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B34F2F"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18E7A" w14:textId="77777777" w:rsidR="00CF59EF" w:rsidRDefault="000B5D37">
            <w:pPr>
              <w:rPr>
                <w:rFonts w:eastAsia="Calibri"/>
                <w:lang w:eastAsia="en-US"/>
              </w:rPr>
            </w:pPr>
            <w:r>
              <w:rPr>
                <w:rFonts w:eastAsia="Calibri"/>
                <w:lang w:eastAsia="en-US"/>
              </w:rPr>
              <w:t>Data not needed</w:t>
            </w:r>
          </w:p>
        </w:tc>
      </w:tr>
      <w:tr w:rsidR="00CF59EF" w14:paraId="3A7E4675"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A7762"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29516" w14:textId="77777777"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intended for indoor use only. The primary receiving compartment is the sewage treatment plant (STP), after which the aquatic and soil compartments</w:t>
            </w:r>
            <w:r w:rsidR="009C501F">
              <w:rPr>
                <w:rFonts w:eastAsia="Calibri"/>
                <w:lang w:eastAsia="en-US"/>
              </w:rPr>
              <w:t xml:space="preserve"> may be exposed. The substance i</w:t>
            </w:r>
            <w:r>
              <w:rPr>
                <w:rFonts w:eastAsia="Calibri"/>
                <w:lang w:eastAsia="en-US"/>
              </w:rPr>
              <w:t xml:space="preserve">s not </w:t>
            </w:r>
            <w:r w:rsidR="009C501F">
              <w:rPr>
                <w:rFonts w:eastAsia="Calibri"/>
                <w:lang w:eastAsia="en-US"/>
              </w:rPr>
              <w:t xml:space="preserve">expected to </w:t>
            </w:r>
            <w:r>
              <w:rPr>
                <w:rFonts w:eastAsia="Calibri"/>
                <w:lang w:eastAsia="en-US"/>
              </w:rPr>
              <w:t xml:space="preserve">bioaccumulate, as the </w:t>
            </w:r>
            <w:proofErr w:type="spellStart"/>
            <w:r>
              <w:rPr>
                <w:rFonts w:eastAsia="Calibri"/>
                <w:lang w:eastAsia="en-US"/>
              </w:rPr>
              <w:t>Kow</w:t>
            </w:r>
            <w:proofErr w:type="spellEnd"/>
            <w:r>
              <w:rPr>
                <w:rFonts w:eastAsia="Calibri"/>
                <w:lang w:eastAsia="en-US"/>
              </w:rPr>
              <w:t xml:space="preserve"> and </w:t>
            </w:r>
            <w:proofErr w:type="spellStart"/>
            <w:r>
              <w:rPr>
                <w:rFonts w:eastAsia="Calibri"/>
                <w:lang w:eastAsia="en-US"/>
              </w:rPr>
              <w:t>Koc</w:t>
            </w:r>
            <w:proofErr w:type="spellEnd"/>
            <w:r>
              <w:rPr>
                <w:rFonts w:eastAsia="Calibri"/>
                <w:lang w:eastAsia="en-US"/>
              </w:rPr>
              <w:t xml:space="preserve"> are very low. Hence, the available data on toxicity to activated sludge and aquatic organisms are sufficient for the risk assessment. </w:t>
            </w:r>
          </w:p>
        </w:tc>
      </w:tr>
    </w:tbl>
    <w:p w14:paraId="1961CBB3" w14:textId="77777777" w:rsidR="00CF59EF" w:rsidRDefault="00CF59EF">
      <w:pPr>
        <w:rPr>
          <w:rFonts w:eastAsia="Calibri"/>
          <w:lang w:val="en-AU" w:eastAsia="en-US"/>
        </w:rPr>
      </w:pPr>
    </w:p>
    <w:p w14:paraId="57D059A8" w14:textId="77777777" w:rsidR="00CF59EF" w:rsidRDefault="000B5D37">
      <w:pPr>
        <w:jc w:val="both"/>
        <w:rPr>
          <w:rFonts w:eastAsia="Calibri"/>
          <w:b/>
          <w:i/>
          <w:sz w:val="22"/>
          <w:szCs w:val="22"/>
          <w:lang w:eastAsia="en-US"/>
        </w:rPr>
      </w:pPr>
      <w:bookmarkStart w:id="1560" w:name="_Toc403472790"/>
      <w:bookmarkStart w:id="1561" w:name="_Toc389729105"/>
      <w:bookmarkEnd w:id="1560"/>
      <w:bookmarkEnd w:id="1561"/>
      <w:r>
        <w:rPr>
          <w:rFonts w:eastAsia="Calibri"/>
          <w:b/>
          <w:i/>
          <w:sz w:val="22"/>
          <w:szCs w:val="22"/>
          <w:lang w:eastAsia="en-US"/>
        </w:rPr>
        <w:t>Foreseeable routes of entry into the environment on the basis of the use envisaged</w:t>
      </w:r>
    </w:p>
    <w:p w14:paraId="6F0C74BE" w14:textId="77777777" w:rsidR="00CF59EF" w:rsidRDefault="00CF59EF">
      <w:pPr>
        <w:rPr>
          <w:rFonts w:ascii="Times New Roman" w:eastAsia="Calibri" w:hAnsi="Times New Roman"/>
          <w:i/>
          <w:iCs/>
          <w:lang w:eastAsia="en-US"/>
        </w:rPr>
      </w:pPr>
    </w:p>
    <w:p w14:paraId="4BE7A0BF" w14:textId="77777777" w:rsidR="00CF59EF" w:rsidRDefault="000B5D37">
      <w:pPr>
        <w:rPr>
          <w:rFonts w:eastAsia="Calibri"/>
          <w:lang w:eastAsia="en-US"/>
        </w:rPr>
      </w:pPr>
      <w:proofErr w:type="spellStart"/>
      <w:r>
        <w:rPr>
          <w:rFonts w:eastAsia="Calibri"/>
          <w:lang w:eastAsia="en-US"/>
        </w:rPr>
        <w:t>Kalaguard</w:t>
      </w:r>
      <w:proofErr w:type="spellEnd"/>
      <w:r>
        <w:rPr>
          <w:rFonts w:eastAsia="Calibri"/>
          <w:lang w:eastAsia="en-US"/>
        </w:rPr>
        <w:t>® SB is intended for use as an in-can preservative in dishwashing liquids, laundry liquids and cleaners. Release to the environment will be via waste water only and therefore the primary receiving compartment is the sewage treatment plant (STP). Discharge of water from the STP to freshwater may occur, so the aquatic compartment and sediment compartment may be exposed. The soil compartment may also be exposed when sewage sludge is ap</w:t>
      </w:r>
      <w:r w:rsidR="009C501F">
        <w:rPr>
          <w:rFonts w:eastAsia="Calibri"/>
          <w:lang w:eastAsia="en-US"/>
        </w:rPr>
        <w:t>plied to the soil and therefore</w:t>
      </w:r>
      <w:r>
        <w:rPr>
          <w:rFonts w:eastAsia="Calibri"/>
          <w:lang w:eastAsia="en-US"/>
        </w:rPr>
        <w:t xml:space="preserve"> risks to soil organisms and groundwater are also assessed.</w:t>
      </w:r>
    </w:p>
    <w:p w14:paraId="100EA5D1" w14:textId="77777777" w:rsidR="00CF59EF" w:rsidRDefault="00CF59EF">
      <w:pPr>
        <w:spacing w:before="60"/>
        <w:ind w:left="142"/>
        <w:rPr>
          <w:rFonts w:ascii="Times New Roman" w:eastAsia="Calibri" w:hAnsi="Times New Roman"/>
          <w:i/>
          <w:lang w:val="en-AU" w:eastAsia="en-US"/>
        </w:rPr>
      </w:pPr>
    </w:p>
    <w:p w14:paraId="1CFC0205" w14:textId="77777777" w:rsidR="00CF59EF" w:rsidRDefault="000B5D37">
      <w:pPr>
        <w:rPr>
          <w:rFonts w:eastAsia="Calibri"/>
          <w:b/>
          <w:i/>
          <w:sz w:val="22"/>
          <w:szCs w:val="22"/>
          <w:lang w:eastAsia="en-US"/>
        </w:rPr>
      </w:pPr>
      <w:bookmarkStart w:id="1562" w:name="_Toc403472791"/>
      <w:bookmarkStart w:id="1563" w:name="_Toc389729106"/>
      <w:bookmarkEnd w:id="1562"/>
      <w:bookmarkEnd w:id="1563"/>
      <w:r>
        <w:rPr>
          <w:rFonts w:eastAsia="Calibri"/>
          <w:b/>
          <w:i/>
          <w:sz w:val="22"/>
          <w:szCs w:val="22"/>
          <w:lang w:eastAsia="en-US"/>
        </w:rPr>
        <w:t>Further studies on fate and behaviour in the environment (ADS)</w:t>
      </w:r>
    </w:p>
    <w:p w14:paraId="0AE62B0C" w14:textId="77777777" w:rsidR="00CF59EF" w:rsidRDefault="00CF59EF">
      <w:pPr>
        <w:rPr>
          <w:rFonts w:eastAsia="Calibri"/>
          <w:lang w:eastAsia="en-US"/>
        </w:rPr>
      </w:pPr>
    </w:p>
    <w:p w14:paraId="3B0E2BCC" w14:textId="77777777" w:rsidR="00CF59EF" w:rsidRPr="00B72A09" w:rsidRDefault="00395F88">
      <w:pPr>
        <w:rPr>
          <w:rFonts w:eastAsia="Calibri"/>
          <w:lang w:eastAsia="en-US"/>
        </w:rPr>
      </w:pPr>
      <w:r w:rsidRPr="00B72A09">
        <w:rPr>
          <w:rFonts w:eastAsia="Calibri"/>
          <w:lang w:eastAsia="en-US"/>
        </w:rPr>
        <w:t xml:space="preserve">Data are included with the product dossier on biodegradation of the active substance; </w:t>
      </w:r>
      <w:proofErr w:type="spellStart"/>
      <w:r w:rsidR="007E7BB7" w:rsidRPr="002F4C58">
        <w:rPr>
          <w:rFonts w:eastAsia="Calibri"/>
          <w:highlight w:val="black"/>
        </w:rPr>
        <w:t>xxxxx</w:t>
      </w:r>
      <w:proofErr w:type="spellEnd"/>
      <w:r w:rsidR="0065084C" w:rsidRPr="00B72A09">
        <w:rPr>
          <w:rFonts w:eastAsia="Calibri"/>
          <w:lang w:eastAsia="en-US"/>
        </w:rPr>
        <w:t xml:space="preserve"> 10.1.1.2</w:t>
      </w:r>
      <w:r w:rsidR="00085D16">
        <w:rPr>
          <w:rFonts w:eastAsia="Calibri"/>
          <w:lang w:eastAsia="en-US"/>
        </w:rPr>
        <w:t xml:space="preserve"> (Ref. no 2.2.8-10)</w:t>
      </w:r>
      <w:r w:rsidRPr="00B72A09">
        <w:rPr>
          <w:rFonts w:eastAsia="Calibri"/>
          <w:lang w:eastAsia="en-US"/>
        </w:rPr>
        <w:t xml:space="preserve">) and </w:t>
      </w:r>
      <w:proofErr w:type="spellStart"/>
      <w:r w:rsidR="007E7BB7" w:rsidRPr="002F4C58">
        <w:rPr>
          <w:rFonts w:eastAsia="Calibri"/>
          <w:highlight w:val="black"/>
        </w:rPr>
        <w:t>xxxxx</w:t>
      </w:r>
      <w:proofErr w:type="spellEnd"/>
      <w:r w:rsidR="007E7BB7" w:rsidRPr="00B72A09">
        <w:rPr>
          <w:rFonts w:eastAsia="Calibri"/>
          <w:lang w:eastAsia="en-US"/>
        </w:rPr>
        <w:t xml:space="preserve"> </w:t>
      </w:r>
      <w:r w:rsidR="0065084C" w:rsidRPr="00B72A09">
        <w:rPr>
          <w:rFonts w:eastAsia="Calibri"/>
          <w:lang w:eastAsia="en-US"/>
        </w:rPr>
        <w:t>10.1.1.2</w:t>
      </w:r>
      <w:r w:rsidR="00085D16">
        <w:rPr>
          <w:rFonts w:eastAsia="Calibri"/>
          <w:lang w:eastAsia="en-US"/>
        </w:rPr>
        <w:t xml:space="preserve"> (Ref. no 2.2.8-11)</w:t>
      </w:r>
      <w:r w:rsidRPr="00B72A09">
        <w:rPr>
          <w:rFonts w:eastAsia="Calibri"/>
          <w:lang w:eastAsia="en-US"/>
        </w:rPr>
        <w:t xml:space="preserve">). These studies present screening for ready biodegradability according to OECD 301D </w:t>
      </w:r>
      <w:r w:rsidR="008A006F">
        <w:rPr>
          <w:rFonts w:eastAsia="Calibri"/>
          <w:lang w:eastAsia="en-US"/>
        </w:rPr>
        <w:t xml:space="preserve">for </w:t>
      </w:r>
      <w:r w:rsidRPr="00B72A09">
        <w:rPr>
          <w:rFonts w:eastAsia="Calibri"/>
          <w:lang w:eastAsia="en-US"/>
        </w:rPr>
        <w:t>ammonium containing substances and OECD 301B for</w:t>
      </w:r>
      <w:r w:rsidRPr="00B72A09">
        <w:t xml:space="preserve"> </w:t>
      </w:r>
      <w:r w:rsidRPr="00B72A09">
        <w:rPr>
          <w:rFonts w:eastAsia="Calibri"/>
          <w:lang w:eastAsia="en-US"/>
        </w:rPr>
        <w:t xml:space="preserve">surfactants, respectively. The studies are </w:t>
      </w:r>
      <w:r w:rsidR="009E4F5B">
        <w:rPr>
          <w:rFonts w:eastAsia="Calibri"/>
          <w:lang w:eastAsia="en-US"/>
        </w:rPr>
        <w:t>regard</w:t>
      </w:r>
      <w:r w:rsidRPr="00B72A09">
        <w:rPr>
          <w:rFonts w:eastAsia="Calibri"/>
          <w:lang w:eastAsia="en-US"/>
        </w:rPr>
        <w:t>ed as supporting data (reliability 4), but it should be considered that sodium benzoate is</w:t>
      </w:r>
      <w:r w:rsidR="00E64844" w:rsidRPr="00B72A09">
        <w:rPr>
          <w:rFonts w:eastAsia="Calibri"/>
          <w:lang w:eastAsia="en-US"/>
        </w:rPr>
        <w:t xml:space="preserve"> used as </w:t>
      </w:r>
      <w:r w:rsidR="00590E7C">
        <w:rPr>
          <w:rFonts w:eastAsia="Calibri"/>
          <w:lang w:eastAsia="en-US"/>
        </w:rPr>
        <w:t xml:space="preserve">a </w:t>
      </w:r>
      <w:r w:rsidR="00E64844" w:rsidRPr="00B72A09">
        <w:rPr>
          <w:rFonts w:eastAsia="Calibri"/>
          <w:lang w:eastAsia="en-US"/>
        </w:rPr>
        <w:t>reference compound that meets the criteria for ready biodegradability in OECD 301</w:t>
      </w:r>
      <w:r w:rsidR="000516D9" w:rsidRPr="00B72A09">
        <w:rPr>
          <w:rFonts w:eastAsia="Calibri"/>
          <w:lang w:eastAsia="en-US"/>
        </w:rPr>
        <w:t xml:space="preserve"> (1992)</w:t>
      </w:r>
      <w:r w:rsidR="00E64844" w:rsidRPr="00B72A09">
        <w:rPr>
          <w:rFonts w:eastAsia="Calibri"/>
          <w:lang w:eastAsia="en-US"/>
        </w:rPr>
        <w:t xml:space="preserve">. Hence, sodium benzoate is </w:t>
      </w:r>
      <w:r w:rsidR="0065084C" w:rsidRPr="00B72A09">
        <w:rPr>
          <w:rFonts w:eastAsia="Calibri"/>
          <w:lang w:eastAsia="en-US"/>
        </w:rPr>
        <w:t xml:space="preserve">considered to be </w:t>
      </w:r>
      <w:r w:rsidR="00E64844" w:rsidRPr="00B72A09">
        <w:rPr>
          <w:rFonts w:eastAsia="Calibri"/>
          <w:lang w:eastAsia="en-US"/>
        </w:rPr>
        <w:t>ready biodegradable.</w:t>
      </w:r>
    </w:p>
    <w:p w14:paraId="29B3130B" w14:textId="77777777" w:rsidR="00B72A09" w:rsidRDefault="00B72A09">
      <w:pPr>
        <w:rPr>
          <w:rFonts w:eastAsia="Calibri"/>
          <w:sz w:val="22"/>
          <w:szCs w:val="22"/>
          <w:lang w:eastAsia="en-US"/>
        </w:rPr>
      </w:pPr>
    </w:p>
    <w:p w14:paraId="55EE4FFB" w14:textId="77777777" w:rsidR="00CF59EF" w:rsidRDefault="000B5D37">
      <w:pPr>
        <w:rPr>
          <w:rFonts w:eastAsia="Calibri"/>
          <w:b/>
          <w:i/>
          <w:sz w:val="22"/>
          <w:szCs w:val="22"/>
          <w:lang w:eastAsia="en-US"/>
        </w:rPr>
      </w:pPr>
      <w:bookmarkStart w:id="1564" w:name="_Toc388374384"/>
      <w:bookmarkStart w:id="1565" w:name="_Toc388285335"/>
      <w:bookmarkStart w:id="1566" w:name="_Toc388374383"/>
      <w:bookmarkStart w:id="1567" w:name="_Toc388285334"/>
      <w:bookmarkStart w:id="1568" w:name="_Toc403472792"/>
      <w:bookmarkStart w:id="1569" w:name="_Toc389729107"/>
      <w:bookmarkEnd w:id="1564"/>
      <w:bookmarkEnd w:id="1565"/>
      <w:bookmarkEnd w:id="1566"/>
      <w:bookmarkEnd w:id="1567"/>
      <w:bookmarkEnd w:id="1568"/>
      <w:bookmarkEnd w:id="1569"/>
      <w:r>
        <w:rPr>
          <w:rFonts w:eastAsia="Calibri"/>
          <w:b/>
          <w:i/>
          <w:sz w:val="22"/>
          <w:szCs w:val="22"/>
          <w:lang w:eastAsia="en-US"/>
        </w:rPr>
        <w:lastRenderedPageBreak/>
        <w:t>Leaching behaviour (ADS)</w:t>
      </w:r>
    </w:p>
    <w:p w14:paraId="327F38DC" w14:textId="77777777" w:rsidR="00CF59EF" w:rsidRDefault="00CF59EF">
      <w:pPr>
        <w:rPr>
          <w:rFonts w:eastAsia="Calibri"/>
          <w:b/>
          <w:i/>
          <w:sz w:val="22"/>
          <w:szCs w:val="22"/>
          <w:lang w:eastAsia="en-US"/>
        </w:rPr>
      </w:pPr>
    </w:p>
    <w:p w14:paraId="55B5203E" w14:textId="77777777" w:rsidR="00CF59EF" w:rsidRPr="009C501F" w:rsidRDefault="009C501F">
      <w:pPr>
        <w:rPr>
          <w:rFonts w:eastAsia="Calibri"/>
          <w:lang w:eastAsia="en-US"/>
        </w:rPr>
      </w:pPr>
      <w:r w:rsidRPr="009C501F">
        <w:rPr>
          <w:rFonts w:eastAsia="Calibri"/>
          <w:lang w:eastAsia="en-US"/>
        </w:rPr>
        <w:t>No data are</w:t>
      </w:r>
      <w:r w:rsidR="000B5D37" w:rsidRPr="009C501F">
        <w:rPr>
          <w:rFonts w:eastAsia="Calibri"/>
          <w:lang w:eastAsia="en-US"/>
        </w:rPr>
        <w:t xml:space="preserve"> available as the product is not a treated article.</w:t>
      </w:r>
    </w:p>
    <w:p w14:paraId="20A2DFF0" w14:textId="77777777" w:rsidR="00CF59EF" w:rsidRDefault="00CF59EF"/>
    <w:p w14:paraId="2375C5DE" w14:textId="77777777" w:rsidR="00CF59EF" w:rsidRDefault="000B5D37">
      <w:pPr>
        <w:rPr>
          <w:rFonts w:eastAsia="Calibri"/>
          <w:b/>
          <w:i/>
          <w:sz w:val="22"/>
          <w:szCs w:val="22"/>
          <w:lang w:eastAsia="en-US"/>
        </w:rPr>
      </w:pPr>
      <w:bookmarkStart w:id="1570" w:name="_Toc403472793"/>
      <w:bookmarkStart w:id="1571" w:name="_Toc389729108"/>
      <w:bookmarkEnd w:id="1570"/>
      <w:bookmarkEnd w:id="1571"/>
      <w:r>
        <w:rPr>
          <w:rFonts w:eastAsia="Calibri"/>
          <w:b/>
          <w:i/>
          <w:sz w:val="22"/>
          <w:szCs w:val="22"/>
          <w:lang w:eastAsia="en-US"/>
        </w:rPr>
        <w:t>Testing for distribution and dissipation in soil (ADS)</w:t>
      </w:r>
    </w:p>
    <w:p w14:paraId="78349AA7" w14:textId="77777777" w:rsidR="00CF59EF" w:rsidRDefault="00CF59EF"/>
    <w:p w14:paraId="151E040A" w14:textId="77777777" w:rsidR="00CF59EF" w:rsidRPr="009C501F" w:rsidRDefault="009C501F">
      <w:pPr>
        <w:rPr>
          <w:rFonts w:eastAsia="Calibri"/>
          <w:lang w:eastAsia="en-US"/>
        </w:rPr>
      </w:pPr>
      <w:r w:rsidRPr="009C501F">
        <w:rPr>
          <w:rFonts w:eastAsia="Calibri"/>
          <w:lang w:eastAsia="en-US"/>
        </w:rPr>
        <w:t>No data are</w:t>
      </w:r>
      <w:r w:rsidR="000B5D37" w:rsidRPr="009C501F">
        <w:rPr>
          <w:rFonts w:eastAsia="Calibri"/>
          <w:lang w:eastAsia="en-US"/>
        </w:rPr>
        <w:t xml:space="preserve"> available.</w:t>
      </w:r>
    </w:p>
    <w:p w14:paraId="3B8DA16A" w14:textId="77777777" w:rsidR="00CF59EF" w:rsidRDefault="00CF59EF">
      <w:pPr>
        <w:rPr>
          <w:rFonts w:eastAsia="Calibri"/>
          <w:b/>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2968FE2B"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437638AC" w14:textId="77777777" w:rsidR="00CF59EF" w:rsidRDefault="000B5D37">
            <w:pPr>
              <w:rPr>
                <w:rFonts w:eastAsia="Calibri"/>
                <w:b/>
                <w:lang w:val="en-US" w:eastAsia="da-DK"/>
              </w:rPr>
            </w:pPr>
            <w:r>
              <w:rPr>
                <w:rFonts w:eastAsia="Calibri"/>
                <w:b/>
                <w:lang w:eastAsia="en-US"/>
              </w:rPr>
              <w:t>Data waiving</w:t>
            </w:r>
          </w:p>
        </w:tc>
      </w:tr>
      <w:tr w:rsidR="00CF59EF" w14:paraId="38E45D0A"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B8FBD"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61083" w14:textId="77777777" w:rsidR="00CF59EF" w:rsidRDefault="000B5D37">
            <w:pPr>
              <w:rPr>
                <w:rFonts w:eastAsia="Calibri"/>
                <w:lang w:eastAsia="en-US"/>
              </w:rPr>
            </w:pPr>
            <w:r>
              <w:rPr>
                <w:rFonts w:eastAsia="Calibri"/>
                <w:lang w:eastAsia="en-US"/>
              </w:rPr>
              <w:t>Data not needed</w:t>
            </w:r>
          </w:p>
        </w:tc>
      </w:tr>
      <w:tr w:rsidR="00CF59EF" w14:paraId="28484467"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20E3E"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79308C" w14:textId="77777777" w:rsidR="00CF59EF" w:rsidRDefault="000B5D37">
            <w:pPr>
              <w:rPr>
                <w:rFonts w:eastAsia="Calibri"/>
                <w:lang w:eastAsia="en-US"/>
              </w:rPr>
            </w:pPr>
            <w:r>
              <w:rPr>
                <w:rFonts w:eastAsia="Calibri"/>
                <w:lang w:eastAsia="en-US"/>
              </w:rPr>
              <w:t xml:space="preserve">The primary receiving compartment is the sewage treatment plant (STP). The soil compartment may also be exposed when sewage sludge is applied to the soil. The active substance is ready biodegradable and has a very low log </w:t>
            </w:r>
            <w:proofErr w:type="spellStart"/>
            <w:r>
              <w:rPr>
                <w:rFonts w:eastAsia="Calibri"/>
                <w:lang w:eastAsia="en-US"/>
              </w:rPr>
              <w:t>Koc</w:t>
            </w:r>
            <w:proofErr w:type="spellEnd"/>
            <w:r>
              <w:rPr>
                <w:rFonts w:eastAsia="Calibri"/>
                <w:lang w:eastAsia="en-US"/>
              </w:rPr>
              <w:t>. Default values for distribution and dissipation will be used in the risk assessment and no further data are required.</w:t>
            </w:r>
          </w:p>
        </w:tc>
      </w:tr>
    </w:tbl>
    <w:p w14:paraId="7774D937" w14:textId="77777777" w:rsidR="00CF59EF" w:rsidRDefault="00CF59EF">
      <w:pPr>
        <w:rPr>
          <w:rFonts w:eastAsia="Calibri"/>
          <w:b/>
          <w:i/>
          <w:sz w:val="22"/>
          <w:szCs w:val="22"/>
          <w:lang w:eastAsia="en-US"/>
        </w:rPr>
      </w:pPr>
    </w:p>
    <w:p w14:paraId="58BDFCDA" w14:textId="77777777" w:rsidR="00CF59EF" w:rsidRDefault="000B5D37">
      <w:pPr>
        <w:rPr>
          <w:rFonts w:eastAsia="Calibri"/>
          <w:b/>
          <w:i/>
          <w:sz w:val="22"/>
          <w:szCs w:val="22"/>
          <w:lang w:eastAsia="en-US"/>
        </w:rPr>
      </w:pPr>
      <w:r>
        <w:rPr>
          <w:rFonts w:eastAsia="Calibri"/>
          <w:b/>
          <w:i/>
          <w:sz w:val="22"/>
          <w:szCs w:val="22"/>
          <w:lang w:eastAsia="en-US"/>
        </w:rPr>
        <w:t>Testing for distribution and dissipation in water and sediment (ADS)</w:t>
      </w:r>
    </w:p>
    <w:p w14:paraId="0B9A2A5D" w14:textId="77777777" w:rsidR="00CF59EF" w:rsidRDefault="00CF59EF">
      <w:pPr>
        <w:ind w:left="360"/>
        <w:contextualSpacing/>
        <w:rPr>
          <w:rFonts w:eastAsia="Calibri"/>
          <w:lang w:eastAsia="en-US"/>
        </w:rPr>
      </w:pPr>
    </w:p>
    <w:p w14:paraId="3457EC3B" w14:textId="77777777" w:rsidR="00CF59EF" w:rsidRPr="002838C1" w:rsidRDefault="002838C1">
      <w:pPr>
        <w:rPr>
          <w:rFonts w:eastAsia="Calibri"/>
          <w:lang w:eastAsia="en-US"/>
        </w:rPr>
      </w:pPr>
      <w:r>
        <w:rPr>
          <w:rFonts w:eastAsia="Calibri"/>
          <w:lang w:eastAsia="en-US"/>
        </w:rPr>
        <w:t>No data are</w:t>
      </w:r>
      <w:r w:rsidR="000B5D37" w:rsidRPr="002838C1">
        <w:rPr>
          <w:rFonts w:eastAsia="Calibri"/>
          <w:lang w:eastAsia="en-US"/>
        </w:rPr>
        <w:t xml:space="preserve"> available.</w:t>
      </w:r>
    </w:p>
    <w:p w14:paraId="2C0E60FC" w14:textId="77777777" w:rsidR="00CF59EF" w:rsidRDefault="000B5D37">
      <w:pPr>
        <w:rPr>
          <w:rFonts w:eastAsia="Calibri"/>
          <w:lang w:eastAsia="en-US"/>
        </w:rPr>
      </w:pPr>
      <w:r>
        <w:rPr>
          <w:rFonts w:ascii="Times New Roman" w:eastAsia="Calibri" w:hAnsi="Times New Roman"/>
          <w:i/>
          <w:iCs/>
          <w:lang w:eastAsia="en-US"/>
        </w:rPr>
        <w:t xml:space="preserve"> </w:t>
      </w: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53F330C4"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3EAB7D50" w14:textId="77777777" w:rsidR="00CF59EF" w:rsidRDefault="000B5D37" w:rsidP="002002AB">
            <w:pPr>
              <w:keepNext/>
              <w:rPr>
                <w:rFonts w:eastAsia="Calibri"/>
                <w:b/>
                <w:lang w:val="en-US" w:eastAsia="da-DK"/>
              </w:rPr>
            </w:pPr>
            <w:r>
              <w:rPr>
                <w:rFonts w:eastAsia="Calibri"/>
                <w:b/>
                <w:lang w:eastAsia="en-US"/>
              </w:rPr>
              <w:t>Data waiving</w:t>
            </w:r>
          </w:p>
        </w:tc>
      </w:tr>
      <w:tr w:rsidR="00CF59EF" w14:paraId="6907AA27"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2ACB7" w14:textId="77777777" w:rsidR="00CF59EF" w:rsidRDefault="000B5D37" w:rsidP="002002AB">
            <w:pPr>
              <w:keepNext/>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8B656" w14:textId="77777777" w:rsidR="00CF59EF" w:rsidRDefault="000B5D37" w:rsidP="002002AB">
            <w:pPr>
              <w:keepNext/>
              <w:rPr>
                <w:rFonts w:eastAsia="Calibri"/>
                <w:bCs/>
                <w:lang w:eastAsia="en-US"/>
              </w:rPr>
            </w:pPr>
            <w:r>
              <w:rPr>
                <w:rFonts w:eastAsia="Calibri"/>
                <w:bCs/>
                <w:lang w:eastAsia="en-US"/>
              </w:rPr>
              <w:t>Data not needed</w:t>
            </w:r>
          </w:p>
        </w:tc>
      </w:tr>
      <w:tr w:rsidR="00CF59EF" w14:paraId="2E95CEE7"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77AC0" w14:textId="77777777" w:rsidR="00CF59EF" w:rsidRDefault="000B5D37" w:rsidP="002002AB">
            <w:pPr>
              <w:keepNext/>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D0DC3" w14:textId="77777777" w:rsidR="00CF59EF" w:rsidRDefault="000B5D37" w:rsidP="00B84DCA">
            <w:pPr>
              <w:keepNext/>
              <w:rPr>
                <w:rFonts w:eastAsia="Calibri"/>
                <w:bCs/>
                <w:lang w:eastAsia="en-US"/>
              </w:rPr>
            </w:pPr>
            <w:r>
              <w:rPr>
                <w:rFonts w:eastAsia="Calibri"/>
                <w:bCs/>
                <w:lang w:eastAsia="en-US"/>
              </w:rPr>
              <w:t>The fate of the active substance is covered by the data provided for the active substance</w:t>
            </w:r>
            <w:r w:rsidR="00482A4F">
              <w:rPr>
                <w:rFonts w:eastAsia="Calibri"/>
                <w:bCs/>
                <w:lang w:eastAsia="en-US"/>
              </w:rPr>
              <w:t xml:space="preserve"> (it is well-</w:t>
            </w:r>
            <w:r w:rsidR="00B84DCA">
              <w:rPr>
                <w:rFonts w:eastAsia="Calibri"/>
                <w:lang w:eastAsia="en-US"/>
              </w:rPr>
              <w:t xml:space="preserve">soluble in water, ready biodegradable and has a low </w:t>
            </w:r>
            <w:proofErr w:type="spellStart"/>
            <w:r w:rsidR="00B84DCA">
              <w:rPr>
                <w:rFonts w:eastAsia="Calibri"/>
                <w:lang w:eastAsia="en-US"/>
              </w:rPr>
              <w:t>Koc</w:t>
            </w:r>
            <w:proofErr w:type="spellEnd"/>
            <w:r w:rsidR="00B84DCA">
              <w:rPr>
                <w:rFonts w:eastAsia="Calibri"/>
                <w:lang w:eastAsia="en-US"/>
              </w:rPr>
              <w:t xml:space="preserve"> value </w:t>
            </w:r>
            <w:r w:rsidR="00B84DCA" w:rsidRPr="002E18E9">
              <w:rPr>
                <w:rFonts w:eastAsia="Calibri"/>
                <w:lang w:eastAsia="en-US"/>
              </w:rPr>
              <w:t>(</w:t>
            </w:r>
            <w:r w:rsidR="001546FA">
              <w:rPr>
                <w:rFonts w:eastAsia="Calibri" w:cs="Arial"/>
                <w:color w:val="000000"/>
                <w:lang w:eastAsia="en-GB"/>
              </w:rPr>
              <w:t>0.018</w:t>
            </w:r>
            <w:r w:rsidR="00B84DCA" w:rsidRPr="002E18E9">
              <w:rPr>
                <w:rFonts w:eastAsia="Calibri" w:cs="Arial"/>
                <w:color w:val="000000"/>
                <w:lang w:eastAsia="en-GB"/>
              </w:rPr>
              <w:t xml:space="preserve"> L/kg)</w:t>
            </w:r>
            <w:r w:rsidR="00B84DCA" w:rsidRPr="002E18E9">
              <w:rPr>
                <w:rFonts w:eastAsia="Calibri"/>
                <w:lang w:eastAsia="en-US"/>
              </w:rPr>
              <w:t>)</w:t>
            </w:r>
            <w:r>
              <w:rPr>
                <w:rFonts w:eastAsia="Calibri"/>
                <w:bCs/>
                <w:lang w:eastAsia="en-US"/>
              </w:rPr>
              <w:t xml:space="preserve">, as the product is identical to the active substance. </w:t>
            </w:r>
          </w:p>
        </w:tc>
      </w:tr>
    </w:tbl>
    <w:p w14:paraId="442F3E52" w14:textId="77777777" w:rsidR="00CF59EF" w:rsidRDefault="00CF59EF"/>
    <w:p w14:paraId="6376B7CA" w14:textId="77777777" w:rsidR="00CF59EF" w:rsidRDefault="000B5D37">
      <w:pPr>
        <w:rPr>
          <w:rFonts w:eastAsia="Calibri"/>
          <w:b/>
          <w:i/>
          <w:sz w:val="22"/>
          <w:szCs w:val="22"/>
          <w:lang w:eastAsia="en-US"/>
        </w:rPr>
      </w:pPr>
      <w:bookmarkStart w:id="1572" w:name="_Toc403472795"/>
      <w:bookmarkStart w:id="1573" w:name="_Toc389729110"/>
      <w:bookmarkEnd w:id="1572"/>
      <w:bookmarkEnd w:id="1573"/>
      <w:r>
        <w:rPr>
          <w:rFonts w:eastAsia="Calibri"/>
          <w:b/>
          <w:i/>
          <w:sz w:val="22"/>
          <w:szCs w:val="22"/>
          <w:lang w:eastAsia="en-US"/>
        </w:rPr>
        <w:t>Testing for distribution and dissipation in air (ADS)</w:t>
      </w:r>
    </w:p>
    <w:p w14:paraId="5C759EB7" w14:textId="77777777" w:rsidR="00CF59EF" w:rsidRDefault="00CF59EF">
      <w:pPr>
        <w:rPr>
          <w:rFonts w:eastAsia="Calibri"/>
          <w:sz w:val="22"/>
          <w:szCs w:val="22"/>
          <w:lang w:eastAsia="en-US"/>
        </w:rPr>
      </w:pPr>
    </w:p>
    <w:p w14:paraId="2756C69F" w14:textId="77777777" w:rsidR="00CF59EF" w:rsidRPr="002838C1" w:rsidRDefault="002838C1">
      <w:pPr>
        <w:rPr>
          <w:rFonts w:eastAsia="Calibri"/>
          <w:lang w:eastAsia="en-US"/>
        </w:rPr>
      </w:pPr>
      <w:r>
        <w:rPr>
          <w:rFonts w:eastAsia="Calibri"/>
          <w:lang w:eastAsia="en-US"/>
        </w:rPr>
        <w:t>No data are</w:t>
      </w:r>
      <w:r w:rsidR="000B5D37" w:rsidRPr="002838C1">
        <w:rPr>
          <w:rFonts w:eastAsia="Calibri"/>
          <w:lang w:eastAsia="en-US"/>
        </w:rPr>
        <w:t xml:space="preserve"> available.</w:t>
      </w:r>
    </w:p>
    <w:p w14:paraId="470E8A11"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14:paraId="36B6A060"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13D392E2" w14:textId="77777777" w:rsidR="00CF59EF" w:rsidRDefault="000B5D37">
            <w:pPr>
              <w:rPr>
                <w:rFonts w:eastAsia="Calibri"/>
                <w:b/>
                <w:lang w:val="en-US" w:eastAsia="da-DK"/>
              </w:rPr>
            </w:pPr>
            <w:r>
              <w:rPr>
                <w:rFonts w:eastAsia="Calibri"/>
                <w:b/>
                <w:lang w:eastAsia="en-US"/>
              </w:rPr>
              <w:t>Data waiving</w:t>
            </w:r>
          </w:p>
        </w:tc>
      </w:tr>
      <w:tr w:rsidR="00CF59EF" w14:paraId="0F59F279"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3462A" w14:textId="77777777"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177115" w14:textId="77777777" w:rsidR="00CF59EF" w:rsidRDefault="000B5D37">
            <w:pPr>
              <w:rPr>
                <w:rFonts w:eastAsia="Calibri"/>
                <w:lang w:eastAsia="en-US"/>
              </w:rPr>
            </w:pPr>
            <w:r>
              <w:rPr>
                <w:rFonts w:eastAsia="Calibri"/>
                <w:lang w:eastAsia="en-US"/>
              </w:rPr>
              <w:t>Data not needed</w:t>
            </w:r>
          </w:p>
        </w:tc>
      </w:tr>
      <w:tr w:rsidR="00CF59EF" w14:paraId="6B248395" w14:textId="77777777">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7B625" w14:textId="77777777"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36709" w14:textId="77777777" w:rsidR="00CF59EF" w:rsidRDefault="000B5D37" w:rsidP="002838C1">
            <w:pPr>
              <w:rPr>
                <w:rFonts w:eastAsia="Calibri"/>
                <w:lang w:eastAsia="en-US"/>
              </w:rPr>
            </w:pPr>
            <w:r>
              <w:rPr>
                <w:rFonts w:eastAsia="Calibri"/>
                <w:lang w:eastAsia="en-US"/>
              </w:rPr>
              <w:t>Sodium benzoate is well soluble in water and ready biodegradable. Furthermore, its vapour pressure is low. Moreover, the preserved product</w:t>
            </w:r>
            <w:r w:rsidR="002838C1">
              <w:rPr>
                <w:rFonts w:eastAsia="Calibri"/>
                <w:lang w:eastAsia="en-US"/>
              </w:rPr>
              <w:t xml:space="preserve"> is </w:t>
            </w:r>
            <w:r>
              <w:rPr>
                <w:rFonts w:eastAsia="Calibri"/>
                <w:lang w:eastAsia="en-US"/>
              </w:rPr>
              <w:t xml:space="preserve">intended for indoor use. Therefore, transformation in air is not relevant. </w:t>
            </w:r>
          </w:p>
        </w:tc>
      </w:tr>
    </w:tbl>
    <w:p w14:paraId="72D8D79F" w14:textId="77777777" w:rsidR="00CF59EF" w:rsidRDefault="00CF59EF">
      <w:pPr>
        <w:ind w:left="720"/>
        <w:contextualSpacing/>
        <w:rPr>
          <w:rFonts w:eastAsia="Calibri"/>
          <w:b/>
          <w:i/>
          <w:sz w:val="24"/>
          <w:lang w:eastAsia="en-US"/>
        </w:rPr>
      </w:pPr>
      <w:bookmarkStart w:id="1574" w:name="_Toc389725272"/>
      <w:bookmarkStart w:id="1575" w:name="_Toc388633780"/>
      <w:bookmarkStart w:id="1576" w:name="_Toc388625379"/>
      <w:bookmarkStart w:id="1577" w:name="_Toc388625125"/>
      <w:bookmarkStart w:id="1578" w:name="_Toc388610091"/>
      <w:bookmarkStart w:id="1579" w:name="_Toc388374389"/>
      <w:bookmarkStart w:id="1580" w:name="_Toc387250869"/>
      <w:bookmarkEnd w:id="1574"/>
      <w:bookmarkEnd w:id="1575"/>
      <w:bookmarkEnd w:id="1576"/>
      <w:bookmarkEnd w:id="1577"/>
      <w:bookmarkEnd w:id="1578"/>
      <w:bookmarkEnd w:id="1579"/>
      <w:bookmarkEnd w:id="1580"/>
    </w:p>
    <w:p w14:paraId="03D4EF91" w14:textId="77777777" w:rsidR="00CF59EF" w:rsidRDefault="000B5D37">
      <w:pPr>
        <w:jc w:val="both"/>
        <w:rPr>
          <w:rFonts w:eastAsia="Calibri"/>
          <w:b/>
          <w:i/>
          <w:sz w:val="22"/>
          <w:szCs w:val="22"/>
          <w:lang w:eastAsia="en-US"/>
        </w:rPr>
      </w:pPr>
      <w:bookmarkStart w:id="1581" w:name="_Toc403472796"/>
      <w:bookmarkStart w:id="1582" w:name="_Toc389729111"/>
      <w:bookmarkEnd w:id="1581"/>
      <w:bookmarkEnd w:id="1582"/>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1AF74A72" w14:textId="77777777" w:rsidR="00CF59EF" w:rsidRDefault="00CF59EF">
      <w:pPr>
        <w:rPr>
          <w:rFonts w:eastAsia="Calibri"/>
          <w:lang w:eastAsia="en-US"/>
        </w:rPr>
      </w:pPr>
    </w:p>
    <w:p w14:paraId="1BEFB6CE" w14:textId="77777777" w:rsidR="00CF59EF" w:rsidRDefault="000B5D37">
      <w:pPr>
        <w:rPr>
          <w:rFonts w:eastAsia="Calibri"/>
          <w:lang w:eastAsia="en-US"/>
        </w:rPr>
      </w:pPr>
      <w:r>
        <w:rPr>
          <w:rFonts w:eastAsia="Calibri"/>
          <w:lang w:eastAsia="en-US"/>
        </w:rPr>
        <w:t>No data available.</w:t>
      </w:r>
    </w:p>
    <w:p w14:paraId="5644C9F0"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1954"/>
        <w:gridCol w:w="7372"/>
      </w:tblGrid>
      <w:tr w:rsidR="00CF59EF" w14:paraId="35AF824B"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2803D282" w14:textId="77777777" w:rsidR="00CF59EF" w:rsidRDefault="000B5D37">
            <w:pPr>
              <w:keepNext/>
              <w:keepLines/>
              <w:spacing w:before="54" w:after="54"/>
              <w:rPr>
                <w:rFonts w:eastAsia="Calibri"/>
                <w:b/>
                <w:lang w:val="en-US" w:eastAsia="da-DK"/>
              </w:rPr>
            </w:pPr>
            <w:r>
              <w:rPr>
                <w:rFonts w:eastAsia="Calibri"/>
                <w:b/>
                <w:bCs/>
                <w:lang w:eastAsia="en-US"/>
              </w:rPr>
              <w:lastRenderedPageBreak/>
              <w:t>Data waiving</w:t>
            </w:r>
          </w:p>
        </w:tc>
      </w:tr>
      <w:tr w:rsidR="00CF59EF" w14:paraId="0B6B5113" w14:textId="77777777">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265283" w14:textId="77777777" w:rsidR="00CF59EF" w:rsidRDefault="000B5D37">
            <w:pPr>
              <w:keepNext/>
              <w:keepLines/>
              <w:spacing w:before="54" w:after="54"/>
              <w:rPr>
                <w:rFonts w:eastAsia="Calibri"/>
                <w:bCs/>
                <w:lang w:eastAsia="en-US"/>
              </w:rPr>
            </w:pPr>
            <w:r>
              <w:rPr>
                <w:rFonts w:eastAsia="Calibri"/>
                <w:bCs/>
                <w:lang w:eastAsia="en-US"/>
              </w:rPr>
              <w:t>Information requirement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82835" w14:textId="77777777" w:rsidR="00CF59EF" w:rsidRDefault="000B5D37">
            <w:pPr>
              <w:keepNext/>
              <w:keepLines/>
              <w:spacing w:before="54" w:after="54"/>
              <w:rPr>
                <w:rFonts w:eastAsia="Calibri"/>
                <w:bCs/>
                <w:lang w:eastAsia="en-US"/>
              </w:rPr>
            </w:pPr>
            <w:r>
              <w:rPr>
                <w:rFonts w:eastAsia="Calibri"/>
                <w:bCs/>
                <w:lang w:eastAsia="en-US"/>
              </w:rPr>
              <w:t>No data needed</w:t>
            </w:r>
          </w:p>
        </w:tc>
      </w:tr>
      <w:tr w:rsidR="00CF59EF" w14:paraId="2BEC2599" w14:textId="77777777">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1F4E2" w14:textId="77777777" w:rsidR="00CF59EF" w:rsidRDefault="000B5D37">
            <w:pPr>
              <w:keepNext/>
              <w:keepLines/>
              <w:spacing w:before="54" w:after="54"/>
              <w:rPr>
                <w:rFonts w:eastAsia="Calibri"/>
                <w:bCs/>
                <w:lang w:eastAsia="en-US"/>
              </w:rPr>
            </w:pPr>
            <w:r>
              <w:rPr>
                <w:rFonts w:eastAsia="Calibri"/>
                <w:bCs/>
                <w:lang w:eastAsia="en-US"/>
              </w:rPr>
              <w:t>Justification</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EC57AB" w14:textId="77777777" w:rsidR="00CF59EF" w:rsidRDefault="000B5D37" w:rsidP="002838C1">
            <w:pPr>
              <w:keepNext/>
              <w:keepLines/>
              <w:spacing w:before="54" w:after="54"/>
              <w:rPr>
                <w:rFonts w:eastAsia="Calibri"/>
                <w:bCs/>
                <w:lang w:eastAsia="en-US"/>
              </w:rPr>
            </w:pPr>
            <w:r>
              <w:rPr>
                <w:rFonts w:eastAsia="Calibri"/>
                <w:bCs/>
                <w:lang w:eastAsia="en-US"/>
              </w:rPr>
              <w:t xml:space="preserve">The </w:t>
            </w:r>
            <w:r>
              <w:rPr>
                <w:rFonts w:eastAsia="Calibri"/>
                <w:lang w:eastAsia="en-US"/>
              </w:rPr>
              <w:t>preserved product</w:t>
            </w:r>
            <w:r w:rsidR="002838C1">
              <w:rPr>
                <w:rFonts w:eastAsia="Calibri"/>
                <w:lang w:eastAsia="en-US"/>
              </w:rPr>
              <w:t xml:space="preserve"> i</w:t>
            </w:r>
            <w:r>
              <w:rPr>
                <w:rFonts w:eastAsia="Calibri"/>
                <w:lang w:eastAsia="en-US"/>
              </w:rPr>
              <w:t>s</w:t>
            </w:r>
            <w:r>
              <w:rPr>
                <w:rFonts w:eastAsia="Calibri"/>
                <w:bCs/>
                <w:lang w:eastAsia="en-US"/>
              </w:rPr>
              <w:t xml:space="preserve"> not intended for spraying near surface waters.</w:t>
            </w:r>
          </w:p>
        </w:tc>
      </w:tr>
    </w:tbl>
    <w:p w14:paraId="1D6B1655" w14:textId="77777777" w:rsidR="00CF59EF" w:rsidRDefault="00CF59EF">
      <w:pPr>
        <w:rPr>
          <w:rFonts w:eastAsia="Calibri"/>
          <w:lang w:eastAsia="en-US"/>
        </w:rPr>
      </w:pPr>
    </w:p>
    <w:p w14:paraId="304473C0" w14:textId="77777777" w:rsidR="00CF59EF" w:rsidRDefault="000B5D37">
      <w:pPr>
        <w:jc w:val="both"/>
        <w:rPr>
          <w:rFonts w:eastAsia="Calibri"/>
          <w:b/>
          <w:i/>
          <w:sz w:val="22"/>
          <w:szCs w:val="22"/>
          <w:lang w:eastAsia="en-US"/>
        </w:rPr>
      </w:pPr>
      <w:bookmarkStart w:id="1583" w:name="_Toc388374392"/>
      <w:bookmarkStart w:id="1584" w:name="_Toc388285342"/>
      <w:bookmarkStart w:id="1585" w:name="_Toc388374391"/>
      <w:bookmarkStart w:id="1586" w:name="_Toc388285341"/>
      <w:bookmarkStart w:id="1587" w:name="_Toc403472797"/>
      <w:bookmarkStart w:id="1588" w:name="_Toc389729112"/>
      <w:bookmarkEnd w:id="1583"/>
      <w:bookmarkEnd w:id="1584"/>
      <w:bookmarkEnd w:id="1585"/>
      <w:bookmarkEnd w:id="1586"/>
      <w:bookmarkEnd w:id="1587"/>
      <w:bookmarkEnd w:id="1588"/>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4D19616B" w14:textId="77777777" w:rsidR="00CF59EF" w:rsidRDefault="00CF59EF">
      <w:pPr>
        <w:rPr>
          <w:rFonts w:ascii="Times New Roman" w:eastAsia="Calibri" w:hAnsi="Times New Roman"/>
          <w:i/>
          <w:iCs/>
          <w:lang w:eastAsia="en-US"/>
        </w:rPr>
      </w:pPr>
      <w:bookmarkStart w:id="1589" w:name="_Toc388374394"/>
      <w:bookmarkEnd w:id="1589"/>
    </w:p>
    <w:p w14:paraId="61BB2973" w14:textId="77777777" w:rsidR="00CF59EF" w:rsidRDefault="000B5D37">
      <w:pPr>
        <w:rPr>
          <w:rFonts w:eastAsia="Calibri"/>
          <w:lang w:eastAsia="en-US"/>
        </w:rPr>
      </w:pPr>
      <w:r>
        <w:rPr>
          <w:rFonts w:eastAsia="Calibri"/>
          <w:lang w:eastAsia="en-US"/>
        </w:rPr>
        <w:t>No data available.</w:t>
      </w:r>
    </w:p>
    <w:p w14:paraId="643209FA" w14:textId="77777777"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1954"/>
        <w:gridCol w:w="7372"/>
      </w:tblGrid>
      <w:tr w:rsidR="00CF59EF" w14:paraId="475DC484" w14:textId="77777777">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14:paraId="6EB5968E" w14:textId="77777777" w:rsidR="00CF59EF" w:rsidRDefault="000B5D37">
            <w:pPr>
              <w:keepNext/>
              <w:keepLines/>
              <w:spacing w:before="54" w:after="54"/>
              <w:rPr>
                <w:rFonts w:eastAsia="Calibri"/>
                <w:b/>
                <w:lang w:val="en-US" w:eastAsia="da-DK"/>
              </w:rPr>
            </w:pPr>
            <w:r>
              <w:rPr>
                <w:rFonts w:eastAsia="Calibri"/>
                <w:b/>
                <w:bCs/>
                <w:lang w:eastAsia="en-US"/>
              </w:rPr>
              <w:t>Data waiving</w:t>
            </w:r>
          </w:p>
        </w:tc>
      </w:tr>
      <w:tr w:rsidR="00CF59EF" w14:paraId="1F816908" w14:textId="77777777">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8CA66" w14:textId="77777777" w:rsidR="00CF59EF" w:rsidRDefault="000B5D37">
            <w:pPr>
              <w:keepNext/>
              <w:keepLines/>
              <w:spacing w:before="54" w:after="54"/>
              <w:rPr>
                <w:rFonts w:eastAsia="Calibri"/>
                <w:bCs/>
                <w:lang w:eastAsia="en-US"/>
              </w:rPr>
            </w:pPr>
            <w:r>
              <w:rPr>
                <w:rFonts w:eastAsia="Calibri"/>
                <w:bCs/>
                <w:lang w:eastAsia="en-US"/>
              </w:rPr>
              <w:t>Information requirement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89B213" w14:textId="77777777" w:rsidR="00CF59EF" w:rsidRDefault="000B5D37">
            <w:pPr>
              <w:keepNext/>
              <w:keepLines/>
              <w:spacing w:before="54" w:after="54"/>
              <w:rPr>
                <w:rFonts w:eastAsia="Calibri"/>
                <w:bCs/>
                <w:lang w:eastAsia="en-US"/>
              </w:rPr>
            </w:pPr>
            <w:r>
              <w:rPr>
                <w:rFonts w:eastAsia="Calibri"/>
                <w:bCs/>
                <w:lang w:eastAsia="en-US"/>
              </w:rPr>
              <w:t>No data needed</w:t>
            </w:r>
          </w:p>
        </w:tc>
      </w:tr>
      <w:tr w:rsidR="00CF59EF" w14:paraId="79A5DC90" w14:textId="77777777">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7217C" w14:textId="77777777" w:rsidR="00CF59EF" w:rsidRDefault="000B5D37">
            <w:pPr>
              <w:keepNext/>
              <w:keepLines/>
              <w:spacing w:before="54" w:after="54"/>
              <w:rPr>
                <w:rFonts w:eastAsia="Calibri"/>
                <w:bCs/>
                <w:lang w:eastAsia="en-US"/>
              </w:rPr>
            </w:pPr>
            <w:r>
              <w:rPr>
                <w:rFonts w:eastAsia="Calibri"/>
                <w:bCs/>
                <w:lang w:eastAsia="en-US"/>
              </w:rPr>
              <w:t>Justification</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C7A20" w14:textId="77777777" w:rsidR="00CF59EF" w:rsidRDefault="000B5D37" w:rsidP="002838C1">
            <w:pPr>
              <w:keepNext/>
              <w:keepLines/>
              <w:spacing w:before="54" w:after="54"/>
              <w:rPr>
                <w:rFonts w:eastAsia="Calibri"/>
                <w:bCs/>
                <w:lang w:eastAsia="en-US"/>
              </w:rPr>
            </w:pPr>
            <w:r>
              <w:rPr>
                <w:rFonts w:eastAsia="Calibri"/>
                <w:bCs/>
                <w:lang w:eastAsia="en-US"/>
              </w:rPr>
              <w:t xml:space="preserve">The </w:t>
            </w:r>
            <w:r>
              <w:rPr>
                <w:rFonts w:eastAsia="Calibri"/>
                <w:lang w:eastAsia="en-US"/>
              </w:rPr>
              <w:t>preserved product</w:t>
            </w:r>
            <w:r w:rsidR="002838C1">
              <w:rPr>
                <w:rFonts w:eastAsia="Calibri"/>
                <w:lang w:eastAsia="en-US"/>
              </w:rPr>
              <w:t xml:space="preserve"> i</w:t>
            </w:r>
            <w:r>
              <w:rPr>
                <w:rFonts w:eastAsia="Calibri"/>
                <w:lang w:eastAsia="en-US"/>
              </w:rPr>
              <w:t>s</w:t>
            </w:r>
            <w:r>
              <w:rPr>
                <w:rFonts w:eastAsia="Calibri"/>
                <w:bCs/>
                <w:lang w:eastAsia="en-US"/>
              </w:rPr>
              <w:t xml:space="preserve"> not intended for spraying outside and there is no potential for formation of dust as the products are used in aqueous solutions.</w:t>
            </w:r>
          </w:p>
        </w:tc>
      </w:tr>
    </w:tbl>
    <w:p w14:paraId="6B0B7054" w14:textId="77777777" w:rsidR="00CF59EF" w:rsidRDefault="00CF59EF">
      <w:pPr>
        <w:rPr>
          <w:rFonts w:eastAsia="Calibri"/>
          <w:lang w:eastAsia="en-US"/>
        </w:rPr>
      </w:pPr>
    </w:p>
    <w:p w14:paraId="30E135A3" w14:textId="77777777" w:rsidR="00CF59EF" w:rsidRDefault="000B5D37" w:rsidP="00F3219E">
      <w:pPr>
        <w:pStyle w:val="Heading3"/>
      </w:pPr>
      <w:bookmarkStart w:id="1590" w:name="_Toc525305254"/>
      <w:bookmarkStart w:id="1591" w:name="_Toc403566581"/>
      <w:bookmarkStart w:id="1592" w:name="_Toc403472798"/>
      <w:bookmarkStart w:id="1593" w:name="_Toc389729113"/>
      <w:bookmarkStart w:id="1594" w:name="_Toc377651044"/>
      <w:bookmarkStart w:id="1595" w:name="_Toc531868675"/>
      <w:proofErr w:type="spellStart"/>
      <w:r>
        <w:t>Exposure</w:t>
      </w:r>
      <w:proofErr w:type="spellEnd"/>
      <w:r>
        <w:t xml:space="preserve"> </w:t>
      </w:r>
      <w:proofErr w:type="spellStart"/>
      <w:r>
        <w:t>assessmen</w:t>
      </w:r>
      <w:bookmarkEnd w:id="1590"/>
      <w:bookmarkEnd w:id="1591"/>
      <w:bookmarkEnd w:id="1592"/>
      <w:bookmarkEnd w:id="1593"/>
      <w:bookmarkEnd w:id="1594"/>
      <w:r>
        <w:t>t</w:t>
      </w:r>
      <w:bookmarkEnd w:id="1595"/>
      <w:proofErr w:type="spellEnd"/>
    </w:p>
    <w:p w14:paraId="4AD37014" w14:textId="77777777" w:rsidR="00CF59EF" w:rsidRDefault="00CF59EF" w:rsidP="002002AB">
      <w:pPr>
        <w:pStyle w:val="CommentText"/>
        <w:keepNext/>
        <w:rPr>
          <w:rFonts w:eastAsia="Calibri"/>
          <w:lang w:eastAsia="en-US"/>
        </w:rPr>
      </w:pPr>
    </w:p>
    <w:p w14:paraId="2C7F7C25" w14:textId="77777777" w:rsidR="00CF59EF" w:rsidRDefault="000B5D37" w:rsidP="002002AB">
      <w:pPr>
        <w:pStyle w:val="CommentText"/>
        <w:keepNext/>
        <w:rPr>
          <w:rFonts w:eastAsia="Calibri"/>
          <w:lang w:eastAsia="en-US"/>
        </w:rPr>
      </w:pPr>
      <w:r>
        <w:rPr>
          <w:rFonts w:eastAsia="Calibri"/>
          <w:lang w:eastAsia="en-US"/>
        </w:rPr>
        <w:t>The application of detergents and cleaning fluids (from here on referred to as ‘cleaning products’) takes place mainly in professional and non-professional settings. Use of cleaning products will generally be indoors (surface cleaning, dishwashing, laundry), and the primary receiving compartment is the sewage treatment plant (STP).</w:t>
      </w:r>
    </w:p>
    <w:p w14:paraId="31CA58DB" w14:textId="77777777" w:rsidR="00CF59EF" w:rsidRDefault="00CF59EF">
      <w:pPr>
        <w:pStyle w:val="CommentText"/>
        <w:rPr>
          <w:rFonts w:eastAsia="Calibri"/>
          <w:lang w:eastAsia="en-US"/>
        </w:rPr>
      </w:pPr>
    </w:p>
    <w:p w14:paraId="3ABF92FD" w14:textId="77777777" w:rsidR="00CF59EF" w:rsidRDefault="000B5D37">
      <w:pPr>
        <w:pStyle w:val="CommentText"/>
        <w:rPr>
          <w:rFonts w:eastAsia="Calibri"/>
          <w:lang w:eastAsia="en-US"/>
        </w:rPr>
      </w:pPr>
      <w:r>
        <w:rPr>
          <w:rFonts w:eastAsia="Calibri"/>
          <w:lang w:eastAsia="en-US"/>
        </w:rPr>
        <w:t>The formulation step is not assessed because the product is identical to the active substance i.e. no formulation takes place. Service life is not assessed because it is limited to the shelf life of the end-product in the can. Finally, the waste stage is not assessed because it is assumed that cleaning product containers are disposed of as domestic waste and will usually be incinerated.</w:t>
      </w:r>
    </w:p>
    <w:p w14:paraId="6276CE0C" w14:textId="77777777" w:rsidR="00CF59EF" w:rsidRDefault="00CF59EF">
      <w:pPr>
        <w:pStyle w:val="CommentText"/>
        <w:rPr>
          <w:rFonts w:eastAsia="Calibri"/>
          <w:lang w:eastAsia="en-US"/>
        </w:rPr>
      </w:pPr>
    </w:p>
    <w:p w14:paraId="02CB8FE9" w14:textId="77777777" w:rsidR="00CF59EF" w:rsidRDefault="000B5D37">
      <w:pPr>
        <w:pStyle w:val="CommentText"/>
        <w:rPr>
          <w:rFonts w:eastAsia="Calibri"/>
          <w:lang w:eastAsia="en-US"/>
        </w:rPr>
      </w:pPr>
      <w:r>
        <w:rPr>
          <w:rFonts w:eastAsia="Calibri"/>
          <w:lang w:eastAsia="en-US"/>
        </w:rPr>
        <w:t>The local release to wastewater is calculated as described in the ESD PT 6 (UBA, 2018). A single tonnage-based scenario is calculated and compared to the aggregated exposure of several consumption-based scenarios for both professional and non-professional uses. The most critical of these two approaches, i.e. the scenario with the highest local release to wastewater, is used for calculations of predicted environmental concentrations (PECs).</w:t>
      </w:r>
    </w:p>
    <w:p w14:paraId="565C802F" w14:textId="77777777" w:rsidR="00CF59EF" w:rsidRDefault="00CF59EF">
      <w:pPr>
        <w:pStyle w:val="CommentText"/>
        <w:rPr>
          <w:rFonts w:eastAsia="Calibri"/>
          <w:lang w:eastAsia="en-US"/>
        </w:rPr>
      </w:pPr>
    </w:p>
    <w:p w14:paraId="35AE812A" w14:textId="77777777" w:rsidR="00CF59EF" w:rsidRDefault="000B5D37">
      <w:pPr>
        <w:pStyle w:val="CommentText"/>
        <w:rPr>
          <w:rFonts w:eastAsia="Calibri"/>
          <w:lang w:eastAsia="en-US"/>
        </w:rPr>
      </w:pPr>
      <w:r>
        <w:rPr>
          <w:rFonts w:eastAsia="Calibri"/>
          <w:lang w:eastAsia="en-US"/>
        </w:rPr>
        <w:t xml:space="preserve">The PECs are calculated according to the </w:t>
      </w:r>
      <w:r>
        <w:rPr>
          <w:rFonts w:cs="Arial"/>
        </w:rPr>
        <w:t>Guidance on the Biocidal Product Regulation Volume IV: Environment - Part B+C (ECHA, 2017)</w:t>
      </w:r>
      <w:r>
        <w:rPr>
          <w:rFonts w:eastAsia="Calibri"/>
          <w:lang w:eastAsia="en-US"/>
        </w:rPr>
        <w:t xml:space="preserve"> by means of EUSES v2.1.2. The fate and emission of chemicals in STP is modelled using </w:t>
      </w:r>
      <w:proofErr w:type="spellStart"/>
      <w:r>
        <w:rPr>
          <w:rFonts w:eastAsia="Calibri"/>
          <w:lang w:eastAsia="en-US"/>
        </w:rPr>
        <w:t>SimpleTreat</w:t>
      </w:r>
      <w:proofErr w:type="spellEnd"/>
      <w:r>
        <w:rPr>
          <w:rFonts w:eastAsia="Calibri"/>
          <w:lang w:eastAsia="en-US"/>
        </w:rPr>
        <w:t xml:space="preserve"> v4.0 (RIVM, 2014), and the results of </w:t>
      </w:r>
      <w:proofErr w:type="spellStart"/>
      <w:r>
        <w:rPr>
          <w:rFonts w:eastAsia="Calibri"/>
          <w:lang w:eastAsia="en-US"/>
        </w:rPr>
        <w:t>Simpletreat</w:t>
      </w:r>
      <w:proofErr w:type="spellEnd"/>
      <w:r>
        <w:rPr>
          <w:rFonts w:eastAsia="Calibri"/>
          <w:lang w:eastAsia="en-US"/>
        </w:rPr>
        <w:t xml:space="preserve"> transferred to EUSES as described in the Technical Agreements for Biocides (TAB) v1.3 (ECHA, 2017). All values for parameters are based on defaults unless otherwise noted. </w:t>
      </w:r>
    </w:p>
    <w:p w14:paraId="029DFCEE" w14:textId="77777777" w:rsidR="00CF59EF" w:rsidRDefault="00CF59EF">
      <w:pPr>
        <w:pStyle w:val="CommentText"/>
        <w:rPr>
          <w:rFonts w:eastAsia="Calibri"/>
          <w:lang w:eastAsia="en-US"/>
        </w:rPr>
      </w:pPr>
    </w:p>
    <w:p w14:paraId="01FCF3AE" w14:textId="77777777" w:rsidR="00CF59EF" w:rsidRDefault="000B5D37">
      <w:pPr>
        <w:jc w:val="both"/>
        <w:rPr>
          <w:rFonts w:eastAsia="Calibri"/>
          <w:sz w:val="22"/>
          <w:szCs w:val="22"/>
          <w:lang w:eastAsia="en-US"/>
        </w:rPr>
      </w:pPr>
      <w:r>
        <w:rPr>
          <w:rFonts w:eastAsia="Calibri"/>
          <w:b/>
          <w:sz w:val="22"/>
          <w:szCs w:val="22"/>
          <w:lang w:eastAsia="en-US"/>
        </w:rPr>
        <w:t>General information professional and non-professional use</w:t>
      </w:r>
      <w:r>
        <w:rPr>
          <w:rFonts w:eastAsia="Calibri"/>
          <w:sz w:val="22"/>
          <w:szCs w:val="22"/>
          <w:lang w:eastAsia="en-US"/>
        </w:rPr>
        <w:t xml:space="preserve">  </w:t>
      </w:r>
    </w:p>
    <w:p w14:paraId="601D1D0C" w14:textId="77777777" w:rsidR="00CF59EF" w:rsidRDefault="000B5D37">
      <w:pPr>
        <w:jc w:val="both"/>
        <w:rPr>
          <w:rFonts w:eastAsia="Calibri"/>
          <w:lang w:eastAsia="en-US"/>
        </w:rPr>
      </w:pPr>
      <w:r>
        <w:rPr>
          <w:rFonts w:eastAsia="Calibri"/>
          <w:lang w:eastAsia="en-US"/>
        </w:rPr>
        <w:lastRenderedPageBreak/>
        <w:t>Uses of in-can preservatives are typically wide dispersive. Professional uses and non-professional uses are assessed together which is in line with the approach presented in ESD PT 6.</w:t>
      </w:r>
    </w:p>
    <w:p w14:paraId="57F04718" w14:textId="77777777" w:rsidR="00CF59EF" w:rsidRDefault="00CF59EF">
      <w:pPr>
        <w:jc w:val="both"/>
        <w:rPr>
          <w:rFonts w:eastAsia="Calibri"/>
          <w:lang w:eastAsia="en-US"/>
        </w:rPr>
      </w:pPr>
    </w:p>
    <w:p w14:paraId="37E451F0" w14:textId="77777777" w:rsidR="00CF59EF" w:rsidRDefault="000B5D37">
      <w:pPr>
        <w:jc w:val="both"/>
        <w:rPr>
          <w:rFonts w:eastAsia="Calibri"/>
          <w:lang w:eastAsia="en-US"/>
        </w:rPr>
      </w:pPr>
      <w:r>
        <w:rPr>
          <w:rFonts w:eastAsia="Calibri"/>
          <w:lang w:eastAsia="en-US"/>
        </w:rPr>
        <w:t xml:space="preserve">In the ESD PT 6 a total of six scenarios are distinguished for both professional and non-professional uses. </w:t>
      </w:r>
    </w:p>
    <w:p w14:paraId="4D284572" w14:textId="77777777" w:rsidR="00CF59EF" w:rsidRDefault="000B5D37">
      <w:pPr>
        <w:jc w:val="both"/>
        <w:rPr>
          <w:rFonts w:eastAsia="Calibri"/>
          <w:lang w:eastAsia="en-US"/>
        </w:rPr>
      </w:pPr>
      <w:r>
        <w:rPr>
          <w:rFonts w:eastAsia="Calibri"/>
          <w:lang w:eastAsia="en-US"/>
        </w:rPr>
        <w:t xml:space="preserve">First, a general </w:t>
      </w:r>
      <w:r>
        <w:rPr>
          <w:rFonts w:eastAsia="Calibri"/>
          <w:i/>
          <w:lang w:eastAsia="en-US"/>
        </w:rPr>
        <w:t>tonnage</w:t>
      </w:r>
      <w:r>
        <w:rPr>
          <w:rFonts w:eastAsia="Calibri"/>
          <w:lang w:eastAsia="en-US"/>
        </w:rPr>
        <w:t xml:space="preserve">-based scenario is defined for use of cleaning products in professional areas. This scenario also covers the non-professional areas when the entire EU volume is used in the equation (worst-case approach). Also, use of the entire EU volume in this scenario automatically covers aggregated exposure. </w:t>
      </w:r>
    </w:p>
    <w:p w14:paraId="1CFCF76A" w14:textId="77777777" w:rsidR="00CF59EF" w:rsidRDefault="000B5D37">
      <w:pPr>
        <w:jc w:val="both"/>
        <w:rPr>
          <w:rFonts w:eastAsia="Calibri"/>
          <w:lang w:eastAsia="en-US"/>
        </w:rPr>
      </w:pPr>
      <w:r>
        <w:rPr>
          <w:rFonts w:eastAsia="Calibri"/>
          <w:lang w:eastAsia="en-US"/>
        </w:rPr>
        <w:t xml:space="preserve">Second, two professional </w:t>
      </w:r>
      <w:r>
        <w:rPr>
          <w:rFonts w:eastAsia="Calibri"/>
          <w:i/>
          <w:lang w:eastAsia="en-US"/>
        </w:rPr>
        <w:t>consumption</w:t>
      </w:r>
      <w:r>
        <w:rPr>
          <w:rFonts w:eastAsia="Calibri"/>
          <w:lang w:eastAsia="en-US"/>
        </w:rPr>
        <w:t>-based scenarios are defined, one for surface</w:t>
      </w:r>
      <w:r w:rsidR="002838C1">
        <w:rPr>
          <w:rFonts w:eastAsia="Calibri"/>
          <w:lang w:eastAsia="en-US"/>
        </w:rPr>
        <w:t xml:space="preserve"> cleaning (institutional areas)</w:t>
      </w:r>
      <w:r>
        <w:rPr>
          <w:rFonts w:eastAsia="Calibri"/>
          <w:lang w:eastAsia="en-US"/>
        </w:rPr>
        <w:t xml:space="preserve"> and one for large-scale laundry (washing streets in hospitals). </w:t>
      </w:r>
    </w:p>
    <w:p w14:paraId="2FAC5E8C" w14:textId="77777777" w:rsidR="00CF59EF" w:rsidRDefault="000B5D37">
      <w:pPr>
        <w:jc w:val="both"/>
        <w:rPr>
          <w:rFonts w:eastAsia="Calibri"/>
          <w:lang w:eastAsia="en-US"/>
        </w:rPr>
      </w:pPr>
      <w:r>
        <w:rPr>
          <w:rFonts w:eastAsia="Calibri"/>
          <w:lang w:eastAsia="en-US"/>
        </w:rPr>
        <w:t>Finally, three non-professional</w:t>
      </w:r>
      <w:r>
        <w:rPr>
          <w:rFonts w:eastAsia="Calibri"/>
          <w:i/>
          <w:lang w:eastAsia="en-US"/>
        </w:rPr>
        <w:t xml:space="preserve"> consumption</w:t>
      </w:r>
      <w:r>
        <w:rPr>
          <w:rFonts w:eastAsia="Calibri"/>
          <w:lang w:eastAsia="en-US"/>
        </w:rPr>
        <w:t xml:space="preserve">-based scenarios are defined for surface cleaning, fabric washing, and dish washing. </w:t>
      </w:r>
    </w:p>
    <w:p w14:paraId="02B3EDD1" w14:textId="77777777" w:rsidR="00CF59EF" w:rsidRDefault="000B5D37">
      <w:pPr>
        <w:jc w:val="both"/>
        <w:rPr>
          <w:rFonts w:eastAsia="Calibri"/>
          <w:lang w:eastAsia="en-US"/>
        </w:rPr>
      </w:pPr>
      <w:r>
        <w:rPr>
          <w:rFonts w:eastAsia="Calibri"/>
          <w:lang w:eastAsia="en-US"/>
        </w:rPr>
        <w:t xml:space="preserve">Releases from all the different consumption-based scenarios must be anticipated to end up in a single local STP, and therefore need to be summed in order to assess aggregated exposure. </w:t>
      </w:r>
    </w:p>
    <w:p w14:paraId="4BB70CF1" w14:textId="77777777" w:rsidR="00CF59EF" w:rsidRDefault="00CF59EF">
      <w:pPr>
        <w:jc w:val="both"/>
        <w:rPr>
          <w:rFonts w:eastAsia="Calibri"/>
          <w:lang w:eastAsia="en-US"/>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89"/>
        <w:gridCol w:w="6567"/>
      </w:tblGrid>
      <w:tr w:rsidR="00CF59EF" w14:paraId="4663C4AA"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4878653A" w14:textId="77777777" w:rsidR="00CF59EF" w:rsidRDefault="000B5D37">
            <w:pPr>
              <w:rPr>
                <w:rFonts w:eastAsia="Calibri"/>
                <w:lang w:eastAsia="en-US"/>
              </w:rPr>
            </w:pPr>
            <w:r>
              <w:rPr>
                <w:rFonts w:eastAsia="Calibri"/>
                <w:lang w:eastAsia="en-US"/>
              </w:rPr>
              <w:t>Assessed PT</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02D39" w14:textId="77777777" w:rsidR="00CF59EF" w:rsidRDefault="000B5D37">
            <w:pPr>
              <w:rPr>
                <w:rFonts w:eastAsia="Calibri"/>
                <w:lang w:eastAsia="en-US"/>
              </w:rPr>
            </w:pPr>
            <w:r>
              <w:rPr>
                <w:rFonts w:eastAsia="Calibri"/>
                <w:lang w:eastAsia="en-US"/>
              </w:rPr>
              <w:t>PT 6 (Preservatives for Products during Storage)</w:t>
            </w:r>
          </w:p>
        </w:tc>
      </w:tr>
      <w:tr w:rsidR="00CF59EF" w14:paraId="46354E0D"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7C7C893E" w14:textId="77777777" w:rsidR="00CF59EF" w:rsidRDefault="000B5D37">
            <w:pPr>
              <w:rPr>
                <w:rFonts w:eastAsia="Calibri"/>
                <w:lang w:eastAsia="en-US"/>
              </w:rPr>
            </w:pPr>
            <w:r>
              <w:rPr>
                <w:rFonts w:eastAsia="Calibri"/>
                <w:lang w:eastAsia="en-US"/>
              </w:rPr>
              <w:t>Assessed scenarios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A0768" w14:textId="77777777" w:rsidR="00CF59EF" w:rsidRDefault="000B5D37">
            <w:pPr>
              <w:rPr>
                <w:rFonts w:eastAsia="Calibri"/>
                <w:lang w:eastAsia="en-US"/>
              </w:rPr>
            </w:pPr>
            <w:r>
              <w:rPr>
                <w:rFonts w:eastAsia="Calibri"/>
                <w:lang w:eastAsia="en-US"/>
              </w:rPr>
              <w:t>Scenario 1: Tonnage based; total EU volume</w:t>
            </w:r>
          </w:p>
          <w:p w14:paraId="25EB1299" w14:textId="77777777" w:rsidR="00CF59EF" w:rsidRDefault="000B5D37">
            <w:pPr>
              <w:rPr>
                <w:rFonts w:eastAsia="Calibri"/>
                <w:lang w:eastAsia="en-US"/>
              </w:rPr>
            </w:pPr>
            <w:r>
              <w:rPr>
                <w:rFonts w:eastAsia="Calibri"/>
                <w:lang w:eastAsia="en-US"/>
              </w:rPr>
              <w:t>Scenario 2: Consumption-based; all uses summed</w:t>
            </w:r>
          </w:p>
        </w:tc>
      </w:tr>
      <w:tr w:rsidR="00CF59EF" w14:paraId="746E1995"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060013BB" w14:textId="77777777" w:rsidR="00CF59EF" w:rsidRDefault="000B5D37">
            <w:pPr>
              <w:rPr>
                <w:rFonts w:eastAsia="Calibri"/>
                <w:lang w:eastAsia="en-US"/>
              </w:rPr>
            </w:pPr>
            <w:r>
              <w:rPr>
                <w:rFonts w:eastAsia="Calibri"/>
                <w:lang w:eastAsia="en-US"/>
              </w:rPr>
              <w:t>ESD(s) used</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19997" w14:textId="77777777" w:rsidR="00CF59EF" w:rsidRDefault="000B5D37">
            <w:pPr>
              <w:rPr>
                <w:rFonts w:eastAsia="Calibri"/>
                <w:lang w:eastAsia="en-US"/>
              </w:rPr>
            </w:pPr>
            <w:r>
              <w:rPr>
                <w:rFonts w:eastAsia="Calibri"/>
                <w:lang w:eastAsia="en-US"/>
              </w:rPr>
              <w:t>PT 6 (UBA, 2018)</w:t>
            </w:r>
          </w:p>
        </w:tc>
      </w:tr>
      <w:tr w:rsidR="00CF59EF" w14:paraId="0D72D125"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3ED86044" w14:textId="77777777" w:rsidR="00CF59EF" w:rsidRDefault="000B5D37">
            <w:pPr>
              <w:rPr>
                <w:rFonts w:eastAsia="Calibri"/>
                <w:lang w:eastAsia="en-US"/>
              </w:rPr>
            </w:pPr>
            <w:r>
              <w:rPr>
                <w:rFonts w:eastAsia="Calibri"/>
                <w:lang w:eastAsia="en-US"/>
              </w:rPr>
              <w:t>Approach</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1E35A" w14:textId="77777777" w:rsidR="00CF59EF" w:rsidRDefault="000B5D37">
            <w:pPr>
              <w:rPr>
                <w:rFonts w:eastAsia="Calibri"/>
                <w:b/>
                <w:lang w:val="it-IT" w:eastAsia="en-US"/>
              </w:rPr>
            </w:pPr>
            <w:r>
              <w:rPr>
                <w:rFonts w:eastAsia="Calibri"/>
                <w:b/>
                <w:lang w:val="it-IT" w:eastAsia="en-US"/>
              </w:rPr>
              <w:t>Scenario 1:</w:t>
            </w:r>
          </w:p>
          <w:p w14:paraId="13ABB496" w14:textId="77777777" w:rsidR="00CF59EF" w:rsidRDefault="000B5D37">
            <w:pPr>
              <w:rPr>
                <w:rFonts w:eastAsia="Calibri"/>
                <w:lang w:val="it-IT" w:eastAsia="en-US"/>
              </w:rPr>
            </w:pPr>
            <w:r>
              <w:rPr>
                <w:rFonts w:eastAsia="Calibri"/>
                <w:lang w:val="it-IT" w:eastAsia="en-US"/>
              </w:rPr>
              <w:t>Release to wastewater calculated based on total EU tonnage</w:t>
            </w:r>
          </w:p>
          <w:p w14:paraId="3D3B9D82" w14:textId="77777777" w:rsidR="00CF59EF" w:rsidRDefault="000B5D37">
            <w:pPr>
              <w:rPr>
                <w:rFonts w:eastAsia="Calibri"/>
                <w:b/>
                <w:lang w:val="it-IT" w:eastAsia="en-US"/>
              </w:rPr>
            </w:pPr>
            <w:r>
              <w:rPr>
                <w:rFonts w:eastAsia="Calibri"/>
                <w:b/>
                <w:lang w:val="it-IT" w:eastAsia="en-US"/>
              </w:rPr>
              <w:t>Scenario 2:</w:t>
            </w:r>
          </w:p>
          <w:p w14:paraId="331654DA" w14:textId="77777777" w:rsidR="00CF59EF" w:rsidRDefault="000B5D37">
            <w:pPr>
              <w:rPr>
                <w:rFonts w:eastAsia="Calibri"/>
                <w:lang w:val="it-IT" w:eastAsia="en-US"/>
              </w:rPr>
            </w:pPr>
            <w:r>
              <w:rPr>
                <w:rFonts w:eastAsia="Calibri"/>
                <w:lang w:val="it-IT" w:eastAsia="en-US"/>
              </w:rPr>
              <w:t>Release to wastewater calculated based on aggregated exposure from both professional uses, and all three non-professional uses.</w:t>
            </w:r>
          </w:p>
          <w:p w14:paraId="7AC1F3C0" w14:textId="77777777" w:rsidR="00CF59EF" w:rsidRDefault="00CF59EF">
            <w:pPr>
              <w:rPr>
                <w:rFonts w:eastAsia="Calibri"/>
                <w:lang w:val="it-IT" w:eastAsia="en-US"/>
              </w:rPr>
            </w:pPr>
          </w:p>
          <w:p w14:paraId="7DB114AB" w14:textId="77777777" w:rsidR="00CF59EF" w:rsidRDefault="000B5D37">
            <w:pPr>
              <w:rPr>
                <w:rFonts w:eastAsia="Calibri"/>
                <w:lang w:val="it-IT" w:eastAsia="en-US"/>
              </w:rPr>
            </w:pPr>
            <w:r>
              <w:rPr>
                <w:rFonts w:eastAsia="Calibri"/>
                <w:lang w:val="it-IT" w:eastAsia="en-US"/>
              </w:rPr>
              <w:t>Only the scenario with the highest local release to STP is further assessed.</w:t>
            </w:r>
          </w:p>
        </w:tc>
      </w:tr>
      <w:tr w:rsidR="00CF59EF" w14:paraId="122BBF35"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08CE3703" w14:textId="77777777" w:rsidR="00CF59EF" w:rsidRDefault="000B5D37">
            <w:pPr>
              <w:rPr>
                <w:rFonts w:eastAsia="Calibri"/>
                <w:lang w:eastAsia="en-US"/>
              </w:rPr>
            </w:pPr>
            <w:r>
              <w:rPr>
                <w:rFonts w:eastAsia="Calibri"/>
                <w:lang w:eastAsia="en-US"/>
              </w:rPr>
              <w:t>Distribution in the environment</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2114E7" w14:textId="77777777" w:rsidR="00CF59EF" w:rsidRDefault="000B5D37">
            <w:pPr>
              <w:rPr>
                <w:rFonts w:eastAsia="Calibri"/>
                <w:lang w:eastAsia="en-US"/>
              </w:rPr>
            </w:pPr>
            <w:r>
              <w:rPr>
                <w:rFonts w:eastAsia="Calibri"/>
                <w:lang w:eastAsia="en-US"/>
              </w:rPr>
              <w:t xml:space="preserve">Calculated based on: </w:t>
            </w:r>
            <w:r>
              <w:t>BPR guidance Vol. IV; Part B+C, v2.0 (ECHA, 2017)</w:t>
            </w:r>
          </w:p>
        </w:tc>
      </w:tr>
      <w:tr w:rsidR="00CF59EF" w14:paraId="4C53DFB7"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33530D33" w14:textId="77777777" w:rsidR="00CF59EF" w:rsidRDefault="000B5D37">
            <w:pPr>
              <w:rPr>
                <w:rFonts w:eastAsia="Calibri"/>
                <w:lang w:eastAsia="en-US"/>
              </w:rPr>
            </w:pPr>
            <w:r>
              <w:rPr>
                <w:rFonts w:eastAsia="Calibri"/>
                <w:lang w:eastAsia="en-US"/>
              </w:rPr>
              <w:t>Groundwater simulation</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2E392B" w14:textId="77777777" w:rsidR="00CF59EF" w:rsidRDefault="000B5D37">
            <w:pPr>
              <w:rPr>
                <w:rFonts w:eastAsia="Calibri"/>
                <w:lang w:eastAsia="en-US"/>
              </w:rPr>
            </w:pPr>
            <w:r>
              <w:rPr>
                <w:rFonts w:eastAsia="Calibri"/>
                <w:lang w:eastAsia="en-US"/>
              </w:rPr>
              <w:t>No</w:t>
            </w:r>
          </w:p>
        </w:tc>
      </w:tr>
      <w:tr w:rsidR="00CF59EF" w14:paraId="3C2A854C"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48BA590E" w14:textId="77777777" w:rsidR="00CF59EF" w:rsidRDefault="000B5D37">
            <w:pPr>
              <w:rPr>
                <w:rFonts w:eastAsia="Calibri"/>
                <w:lang w:eastAsia="en-US"/>
              </w:rPr>
            </w:pPr>
            <w:r>
              <w:rPr>
                <w:rFonts w:eastAsia="Calibri"/>
                <w:lang w:eastAsia="en-US"/>
              </w:rPr>
              <w:t>Confidential Annexes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F7454E" w14:textId="77777777" w:rsidR="00CF59EF" w:rsidRDefault="000B5D37">
            <w:pPr>
              <w:rPr>
                <w:rFonts w:eastAsia="Calibri"/>
                <w:lang w:eastAsia="en-US"/>
              </w:rPr>
            </w:pPr>
            <w:r>
              <w:rPr>
                <w:rFonts w:eastAsia="Calibri"/>
                <w:lang w:eastAsia="en-US"/>
              </w:rPr>
              <w:t>No</w:t>
            </w:r>
          </w:p>
        </w:tc>
      </w:tr>
      <w:tr w:rsidR="00CF59EF" w14:paraId="537336C2"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464884C8" w14:textId="77777777" w:rsidR="00CF59EF" w:rsidRDefault="000B5D37">
            <w:pPr>
              <w:rPr>
                <w:rFonts w:eastAsia="Calibri"/>
                <w:lang w:eastAsia="en-US"/>
              </w:rPr>
            </w:pPr>
            <w:r>
              <w:rPr>
                <w:rFonts w:eastAsia="Calibri"/>
                <w:lang w:eastAsia="en-US"/>
              </w:rPr>
              <w:t>Life cycle steps assessed</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1AD421" w14:textId="77777777" w:rsidR="00CF59EF" w:rsidRDefault="000B5D37">
            <w:pPr>
              <w:rPr>
                <w:rFonts w:eastAsia="Calibri"/>
                <w:lang w:eastAsia="en-US"/>
              </w:rPr>
            </w:pPr>
            <w:r>
              <w:rPr>
                <w:rFonts w:eastAsia="Calibri"/>
                <w:lang w:eastAsia="en-US"/>
              </w:rPr>
              <w:t>Scenarios 1 and 2:</w:t>
            </w:r>
          </w:p>
          <w:p w14:paraId="0B48F046" w14:textId="77777777" w:rsidR="00CF59EF" w:rsidRDefault="000B5D37">
            <w:pPr>
              <w:rPr>
                <w:rFonts w:eastAsia="Calibri"/>
                <w:lang w:eastAsia="en-US"/>
              </w:rPr>
            </w:pPr>
            <w:r>
              <w:rPr>
                <w:rFonts w:eastAsia="Calibri"/>
                <w:lang w:eastAsia="en-US"/>
              </w:rPr>
              <w:t>Production: no</w:t>
            </w:r>
          </w:p>
          <w:p w14:paraId="083671B1" w14:textId="77777777" w:rsidR="00CF59EF" w:rsidRPr="002E0DEB" w:rsidRDefault="000B5D37">
            <w:pPr>
              <w:rPr>
                <w:rFonts w:eastAsia="Calibri"/>
                <w:b/>
                <w:lang w:eastAsia="en-US"/>
              </w:rPr>
            </w:pPr>
            <w:r w:rsidRPr="002E0DEB">
              <w:rPr>
                <w:rFonts w:eastAsia="Calibri"/>
                <w:b/>
                <w:lang w:eastAsia="en-US"/>
              </w:rPr>
              <w:t xml:space="preserve">Formulation: </w:t>
            </w:r>
            <w:r w:rsidR="00ED27B6" w:rsidRPr="002E0DEB">
              <w:rPr>
                <w:rFonts w:eastAsia="Calibri"/>
                <w:b/>
                <w:lang w:eastAsia="en-US"/>
              </w:rPr>
              <w:t>yes</w:t>
            </w:r>
          </w:p>
          <w:p w14:paraId="2BB458FC" w14:textId="77777777" w:rsidR="00CF59EF" w:rsidRDefault="00C230B4">
            <w:pPr>
              <w:rPr>
                <w:rFonts w:eastAsia="Calibri"/>
                <w:b/>
                <w:lang w:eastAsia="en-US"/>
              </w:rPr>
            </w:pPr>
            <w:r>
              <w:rPr>
                <w:rFonts w:eastAsia="Calibri"/>
                <w:b/>
                <w:lang w:eastAsia="en-US"/>
              </w:rPr>
              <w:t xml:space="preserve">Use </w:t>
            </w:r>
            <w:r w:rsidR="000B5D37">
              <w:rPr>
                <w:rFonts w:eastAsia="Calibri"/>
                <w:b/>
                <w:lang w:eastAsia="en-US"/>
              </w:rPr>
              <w:t>: yes</w:t>
            </w:r>
          </w:p>
          <w:p w14:paraId="40C6928A" w14:textId="77777777" w:rsidR="00CF59EF" w:rsidRDefault="000B5D37">
            <w:pPr>
              <w:rPr>
                <w:rFonts w:eastAsia="Calibri"/>
                <w:lang w:eastAsia="en-US"/>
              </w:rPr>
            </w:pPr>
            <w:r>
              <w:rPr>
                <w:rFonts w:eastAsia="Calibri"/>
                <w:lang w:eastAsia="en-US"/>
              </w:rPr>
              <w:t>Service-life: no</w:t>
            </w:r>
          </w:p>
          <w:p w14:paraId="1CF08D8E" w14:textId="77777777" w:rsidR="00CF59EF" w:rsidRDefault="000B5D37">
            <w:pPr>
              <w:rPr>
                <w:rFonts w:eastAsia="Calibri"/>
                <w:lang w:eastAsia="en-US"/>
              </w:rPr>
            </w:pPr>
            <w:r>
              <w:rPr>
                <w:rFonts w:eastAsia="Calibri"/>
                <w:lang w:eastAsia="en-US"/>
              </w:rPr>
              <w:t>Waste-stage: no</w:t>
            </w:r>
          </w:p>
        </w:tc>
      </w:tr>
      <w:tr w:rsidR="00CF59EF" w14:paraId="18050737" w14:textId="77777777">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060896D5" w14:textId="77777777" w:rsidR="00CF59EF" w:rsidRDefault="000B5D37">
            <w:pPr>
              <w:rPr>
                <w:rFonts w:eastAsia="Calibri"/>
                <w:lang w:eastAsia="en-US"/>
              </w:rPr>
            </w:pPr>
            <w:r>
              <w:rPr>
                <w:rFonts w:eastAsia="Calibri"/>
                <w:lang w:eastAsia="en-US"/>
              </w:rPr>
              <w:t>Remarks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2181" w14:textId="77777777" w:rsidR="00CF59EF" w:rsidRDefault="000B5D37">
            <w:pPr>
              <w:rPr>
                <w:rFonts w:eastAsia="Calibri"/>
                <w:lang w:eastAsia="en-US"/>
              </w:rPr>
            </w:pPr>
            <w:r>
              <w:rPr>
                <w:rFonts w:eastAsia="Calibri"/>
                <w:lang w:eastAsia="en-US"/>
              </w:rPr>
              <w:t>-</w:t>
            </w:r>
          </w:p>
        </w:tc>
      </w:tr>
    </w:tbl>
    <w:p w14:paraId="13F2890C" w14:textId="77777777" w:rsidR="00CF59EF" w:rsidRDefault="00CF59EF">
      <w:pPr>
        <w:jc w:val="both"/>
        <w:rPr>
          <w:rFonts w:eastAsia="Calibri"/>
          <w:sz w:val="22"/>
          <w:szCs w:val="22"/>
          <w:lang w:eastAsia="en-US"/>
        </w:rPr>
      </w:pPr>
    </w:p>
    <w:p w14:paraId="5A805073" w14:textId="77777777" w:rsidR="004234C9" w:rsidRDefault="000B5D37" w:rsidP="004234C9">
      <w:pPr>
        <w:jc w:val="both"/>
        <w:rPr>
          <w:rFonts w:eastAsia="Calibri"/>
        </w:rPr>
      </w:pPr>
      <w:r w:rsidRPr="007D285D">
        <w:rPr>
          <w:rFonts w:eastAsia="Calibri"/>
        </w:rPr>
        <w:t>The maximum concentration of sodium benzoate in the cleaning product is 2.95%</w:t>
      </w:r>
      <w:bookmarkStart w:id="1596" w:name="_Toc377651045"/>
      <w:bookmarkEnd w:id="1596"/>
      <w:r w:rsidR="007D285D" w:rsidRPr="007D285D">
        <w:rPr>
          <w:rFonts w:eastAsia="Calibri"/>
        </w:rPr>
        <w:t xml:space="preserve"> (equivalent to 2.5% benzoic acid)</w:t>
      </w:r>
      <w:r w:rsidRPr="007D285D">
        <w:rPr>
          <w:rFonts w:eastAsia="Calibri"/>
        </w:rPr>
        <w:t>. Assuming a density of 1 kg/L</w:t>
      </w:r>
      <w:r w:rsidR="00087CE7">
        <w:rPr>
          <w:rFonts w:eastAsia="Calibri"/>
        </w:rPr>
        <w:t>, this relates to 0.0295 kg sodium benzoate</w:t>
      </w:r>
      <w:r w:rsidRPr="007D285D">
        <w:rPr>
          <w:rFonts w:eastAsia="Calibri"/>
        </w:rPr>
        <w:t>/L.</w:t>
      </w:r>
      <w:bookmarkStart w:id="1597" w:name="_Toc403472799"/>
      <w:bookmarkStart w:id="1598" w:name="_Toc389729114"/>
      <w:bookmarkEnd w:id="1597"/>
      <w:bookmarkEnd w:id="1598"/>
    </w:p>
    <w:p w14:paraId="079B235F" w14:textId="77777777" w:rsidR="004234C9" w:rsidRDefault="004234C9" w:rsidP="004234C9">
      <w:pPr>
        <w:jc w:val="both"/>
        <w:rPr>
          <w:rFonts w:eastAsia="Calibri"/>
        </w:rPr>
      </w:pPr>
    </w:p>
    <w:p w14:paraId="65A8B3F3" w14:textId="77777777" w:rsidR="004234C9" w:rsidRDefault="004234C9" w:rsidP="004234C9">
      <w:pPr>
        <w:jc w:val="both"/>
        <w:rPr>
          <w:rFonts w:eastAsia="Calibri"/>
        </w:rPr>
      </w:pPr>
    </w:p>
    <w:p w14:paraId="140C5336" w14:textId="77777777" w:rsidR="004234C9" w:rsidRDefault="000B5D37" w:rsidP="004234C9">
      <w:pPr>
        <w:jc w:val="both"/>
        <w:rPr>
          <w:rFonts w:eastAsia="Calibri"/>
        </w:rPr>
      </w:pPr>
      <w:r>
        <w:rPr>
          <w:rFonts w:eastAsia="Calibri"/>
          <w:b/>
          <w:i/>
          <w:sz w:val="22"/>
          <w:szCs w:val="22"/>
          <w:lang w:eastAsia="en-US"/>
        </w:rPr>
        <w:t>Emission estimation</w:t>
      </w:r>
    </w:p>
    <w:p w14:paraId="37E1019B" w14:textId="77777777" w:rsidR="004234C9" w:rsidRDefault="004234C9" w:rsidP="004234C9">
      <w:pPr>
        <w:jc w:val="both"/>
        <w:rPr>
          <w:rFonts w:eastAsia="Calibri"/>
        </w:rPr>
      </w:pPr>
    </w:p>
    <w:p w14:paraId="4E07599F" w14:textId="77777777" w:rsidR="00CF59EF" w:rsidRPr="004234C9" w:rsidRDefault="000B5D37" w:rsidP="00B314AA">
      <w:pPr>
        <w:rPr>
          <w:rFonts w:eastAsia="Calibri"/>
        </w:rPr>
      </w:pPr>
      <w:r>
        <w:rPr>
          <w:rFonts w:eastAsia="Calibri"/>
          <w:bCs/>
          <w:lang w:eastAsia="en-US"/>
        </w:rPr>
        <w:t xml:space="preserve">Direct </w:t>
      </w:r>
      <w:r w:rsidRPr="008A006F">
        <w:rPr>
          <w:rFonts w:eastAsia="Calibri"/>
          <w:bCs/>
          <w:lang w:eastAsia="en-US"/>
        </w:rPr>
        <w:t xml:space="preserve">releases from different use scenarios take place only via wastewater to </w:t>
      </w:r>
      <w:r w:rsidR="00CF200E" w:rsidRPr="008A006F">
        <w:rPr>
          <w:rFonts w:eastAsia="Calibri"/>
          <w:bCs/>
          <w:lang w:eastAsia="en-US"/>
        </w:rPr>
        <w:t xml:space="preserve">the </w:t>
      </w:r>
      <w:r w:rsidRPr="008A006F">
        <w:rPr>
          <w:rFonts w:eastAsia="Calibri"/>
          <w:bCs/>
          <w:lang w:eastAsia="en-US"/>
        </w:rPr>
        <w:t xml:space="preserve">STP. The emissions are calculated based on the calculation tables presented in ESD PT 6 (UBA, 2018). </w:t>
      </w:r>
      <w:r w:rsidR="00612BF5" w:rsidRPr="008A006F">
        <w:rPr>
          <w:rFonts w:eastAsia="Calibri"/>
          <w:bCs/>
          <w:lang w:eastAsia="en-US"/>
        </w:rPr>
        <w:t xml:space="preserve">For the tonnage scenario, the emission data </w:t>
      </w:r>
      <w:r w:rsidR="00ED27B6">
        <w:rPr>
          <w:rFonts w:eastAsia="Calibri"/>
          <w:bCs/>
          <w:lang w:eastAsia="en-US"/>
        </w:rPr>
        <w:t xml:space="preserve">(formulation step and </w:t>
      </w:r>
      <w:r w:rsidR="002E0DEB">
        <w:rPr>
          <w:rFonts w:eastAsia="Calibri"/>
          <w:bCs/>
          <w:lang w:eastAsia="en-US"/>
        </w:rPr>
        <w:t>use/</w:t>
      </w:r>
      <w:r w:rsidR="00ED27B6">
        <w:rPr>
          <w:rFonts w:eastAsia="Calibri"/>
          <w:bCs/>
          <w:lang w:eastAsia="en-US"/>
        </w:rPr>
        <w:t xml:space="preserve">application step) </w:t>
      </w:r>
      <w:r w:rsidR="00612BF5" w:rsidRPr="008A006F">
        <w:rPr>
          <w:rFonts w:eastAsia="Calibri"/>
          <w:bCs/>
          <w:lang w:eastAsia="en-US"/>
        </w:rPr>
        <w:t xml:space="preserve">are presented in the confidential annex (Section 3.6). For the consumption </w:t>
      </w:r>
      <w:r w:rsidR="00612BF5" w:rsidRPr="008A006F">
        <w:rPr>
          <w:rFonts w:eastAsia="Calibri"/>
          <w:bCs/>
          <w:lang w:eastAsia="en-US"/>
        </w:rPr>
        <w:lastRenderedPageBreak/>
        <w:t>scenarios, t</w:t>
      </w:r>
      <w:r w:rsidRPr="008A006F">
        <w:rPr>
          <w:rFonts w:eastAsia="Calibri"/>
          <w:bCs/>
          <w:lang w:eastAsia="en-US"/>
        </w:rPr>
        <w:t>he outcome of the calculations is shown below.</w:t>
      </w:r>
      <w:r>
        <w:rPr>
          <w:rFonts w:eastAsia="Calibri"/>
          <w:b/>
          <w:bCs/>
          <w:lang w:eastAsia="en-US"/>
        </w:rPr>
        <w:br/>
      </w:r>
    </w:p>
    <w:p w14:paraId="0B05F917" w14:textId="77777777" w:rsidR="00CF59EF" w:rsidRDefault="00175D2E">
      <w:pPr>
        <w:keepNext/>
        <w:rPr>
          <w:rFonts w:eastAsia="Calibri"/>
          <w:b/>
          <w:bCs/>
          <w:lang w:eastAsia="en-US"/>
        </w:rPr>
      </w:pPr>
      <w:r>
        <w:rPr>
          <w:rFonts w:eastAsia="Calibri"/>
          <w:b/>
          <w:bCs/>
          <w:lang w:eastAsia="en-US"/>
        </w:rPr>
        <w:t>Consumption-based s</w:t>
      </w:r>
      <w:r w:rsidR="000B5D37">
        <w:rPr>
          <w:rFonts w:eastAsia="Calibri"/>
          <w:b/>
          <w:bCs/>
          <w:lang w:eastAsia="en-US"/>
        </w:rPr>
        <w:t>cenario [2]</w:t>
      </w:r>
    </w:p>
    <w:p w14:paraId="7F31900A" w14:textId="77777777" w:rsidR="00CF59EF" w:rsidRDefault="00CF59EF">
      <w:pPr>
        <w:keepNext/>
        <w:rPr>
          <w:rFonts w:eastAsia="Calibri"/>
          <w:lang w:eastAsia="en-US"/>
        </w:rPr>
      </w:pPr>
    </w:p>
    <w:tbl>
      <w:tblPr>
        <w:tblW w:w="93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60"/>
        <w:gridCol w:w="1440"/>
        <w:gridCol w:w="1439"/>
        <w:gridCol w:w="3421"/>
      </w:tblGrid>
      <w:tr w:rsidR="00CF59EF" w14:paraId="7965CF01" w14:textId="77777777">
        <w:trPr>
          <w:trHeight w:val="346"/>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2B6FC1AD" w14:textId="77777777" w:rsidR="00CF59EF" w:rsidRDefault="000B5D37">
            <w:pPr>
              <w:keepNext/>
              <w:spacing w:before="60" w:after="60"/>
              <w:rPr>
                <w:rFonts w:eastAsia="Calibri" w:cs="Arial"/>
                <w:b/>
                <w:bCs/>
                <w:color w:val="000000"/>
                <w:sz w:val="18"/>
                <w:szCs w:val="18"/>
                <w:lang w:eastAsia="en-GB"/>
              </w:rPr>
            </w:pPr>
            <w:r>
              <w:rPr>
                <w:rFonts w:eastAsia="Calibri"/>
                <w:b/>
                <w:sz w:val="18"/>
                <w:szCs w:val="18"/>
                <w:lang w:eastAsia="en-US"/>
              </w:rPr>
              <w:t>Input parameters for calculating the local emission</w:t>
            </w:r>
          </w:p>
        </w:tc>
      </w:tr>
      <w:tr w:rsidR="00CF59EF" w14:paraId="7DDD7D2B" w14:textId="77777777">
        <w:trPr>
          <w:trHeight w:val="75"/>
        </w:trPr>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34C4D" w14:textId="77777777" w:rsidR="00CF59EF" w:rsidRDefault="000B5D37">
            <w:pPr>
              <w:keepNext/>
              <w:spacing w:before="60" w:after="60"/>
              <w:rPr>
                <w:rFonts w:eastAsia="Calibri" w:cs="Arial"/>
                <w:color w:val="000000"/>
                <w:sz w:val="18"/>
                <w:szCs w:val="18"/>
                <w:lang w:eastAsia="en-GB"/>
              </w:rPr>
            </w:pPr>
            <w:r>
              <w:rPr>
                <w:rFonts w:eastAsia="Calibri" w:cs="Arial"/>
                <w:b/>
                <w:bCs/>
                <w:color w:val="000000"/>
                <w:sz w:val="18"/>
                <w:szCs w:val="18"/>
                <w:lang w:eastAsia="en-GB"/>
              </w:rPr>
              <w:t xml:space="preserve">Input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31863" w14:textId="77777777" w:rsidR="00CF59EF" w:rsidRDefault="000B5D37">
            <w:pPr>
              <w:keepNext/>
              <w:spacing w:before="60" w:after="60"/>
              <w:rPr>
                <w:rFonts w:eastAsia="Calibri" w:cs="Arial"/>
                <w:color w:val="000000"/>
                <w:sz w:val="18"/>
                <w:szCs w:val="18"/>
                <w:lang w:eastAsia="en-GB"/>
              </w:rPr>
            </w:pPr>
            <w:r>
              <w:rPr>
                <w:rFonts w:eastAsia="Calibri" w:cs="Arial"/>
                <w:b/>
                <w:bCs/>
                <w:color w:val="000000"/>
                <w:sz w:val="18"/>
                <w:szCs w:val="18"/>
                <w:lang w:eastAsia="en-GB"/>
              </w:rPr>
              <w:t xml:space="preserve">Value </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DB75D1" w14:textId="77777777" w:rsidR="00CF59EF" w:rsidRDefault="000B5D37">
            <w:pPr>
              <w:keepNext/>
              <w:spacing w:before="60" w:after="60"/>
              <w:rPr>
                <w:rFonts w:eastAsia="Calibri" w:cs="Arial"/>
                <w:b/>
                <w:bCs/>
                <w:color w:val="000000"/>
                <w:sz w:val="18"/>
                <w:szCs w:val="18"/>
                <w:lang w:eastAsia="en-GB"/>
              </w:rPr>
            </w:pPr>
            <w:r>
              <w:rPr>
                <w:rFonts w:eastAsia="Calibri" w:cs="Arial"/>
                <w:b/>
                <w:bCs/>
                <w:color w:val="000000"/>
                <w:sz w:val="18"/>
                <w:szCs w:val="18"/>
                <w:lang w:eastAsia="en-GB"/>
              </w:rPr>
              <w:t>Unit</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43A353" w14:textId="77777777" w:rsidR="00CF59EF" w:rsidRDefault="000B5D37">
            <w:pPr>
              <w:keepNext/>
              <w:spacing w:before="60" w:after="60"/>
              <w:rPr>
                <w:rFonts w:eastAsia="Calibri" w:cs="Arial"/>
                <w:b/>
                <w:bCs/>
                <w:color w:val="000000"/>
                <w:sz w:val="18"/>
                <w:szCs w:val="18"/>
                <w:lang w:eastAsia="en-GB"/>
              </w:rPr>
            </w:pPr>
            <w:r>
              <w:rPr>
                <w:rFonts w:eastAsia="Calibri" w:cs="Arial"/>
                <w:b/>
                <w:bCs/>
                <w:color w:val="000000"/>
                <w:sz w:val="18"/>
                <w:szCs w:val="18"/>
                <w:lang w:eastAsia="en-GB"/>
              </w:rPr>
              <w:t>Remarks</w:t>
            </w:r>
          </w:p>
        </w:tc>
      </w:tr>
      <w:tr w:rsidR="00CF59EF" w14:paraId="6C7541F4" w14:textId="77777777">
        <w:trPr>
          <w:trHeight w:val="36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7C88B" w14:textId="77777777"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2-1: professional use in surface cleaning</w:t>
            </w:r>
          </w:p>
        </w:tc>
      </w:tr>
      <w:tr w:rsidR="00CF59EF" w14:paraId="0C0C524A" w14:textId="77777777">
        <w:trPr>
          <w:trHeight w:val="352"/>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01617" w14:textId="77777777"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2-2: professional use in large-scale laundry</w:t>
            </w:r>
          </w:p>
        </w:tc>
      </w:tr>
      <w:tr w:rsidR="00CF59EF" w14:paraId="39446453" w14:textId="77777777">
        <w:trPr>
          <w:trHeight w:val="334"/>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BDA3DE" w14:textId="77777777"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2-3: non-professional use in surface cleaning</w:t>
            </w:r>
          </w:p>
        </w:tc>
      </w:tr>
      <w:tr w:rsidR="00CF59EF" w14:paraId="4351DB5F" w14:textId="77777777">
        <w:trPr>
          <w:trHeight w:val="27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C9947B" w14:textId="77777777"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2-4: non-professional use in fabric washing</w:t>
            </w:r>
          </w:p>
        </w:tc>
      </w:tr>
      <w:tr w:rsidR="00CF59EF" w14:paraId="2609F7D0" w14:textId="77777777">
        <w:trPr>
          <w:trHeight w:val="27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599731" w14:textId="77777777"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2-5: non-professional use in dish washing</w:t>
            </w:r>
          </w:p>
        </w:tc>
      </w:tr>
      <w:tr w:rsidR="00CF59EF" w14:paraId="125D7C76" w14:textId="77777777">
        <w:trPr>
          <w:trHeight w:val="721"/>
        </w:trPr>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4A533" w14:textId="77777777" w:rsidR="00CF59EF" w:rsidRDefault="000B5D37">
            <w:pPr>
              <w:keepNext/>
              <w:spacing w:before="60" w:after="60"/>
              <w:rPr>
                <w:rFonts w:eastAsia="Calibri"/>
                <w:sz w:val="18"/>
                <w:szCs w:val="18"/>
                <w:lang w:eastAsia="en-GB"/>
              </w:rPr>
            </w:pPr>
            <w:r>
              <w:rPr>
                <w:rFonts w:eastAsia="Calibri"/>
                <w:sz w:val="18"/>
                <w:szCs w:val="18"/>
                <w:lang w:eastAsia="en-GB"/>
              </w:rPr>
              <w:t>Concentration of active substance in the product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F2900A" w14:textId="77777777" w:rsidR="00CF59EF" w:rsidRDefault="000B5D37">
            <w:pPr>
              <w:keepNext/>
              <w:spacing w:before="60" w:after="60"/>
              <w:rPr>
                <w:rFonts w:eastAsia="Calibri" w:cs="Arial"/>
                <w:sz w:val="18"/>
                <w:szCs w:val="18"/>
                <w:lang w:eastAsia="en-GB"/>
              </w:rPr>
            </w:pPr>
            <w:r>
              <w:rPr>
                <w:rFonts w:eastAsia="Calibri" w:cs="Arial"/>
                <w:sz w:val="18"/>
                <w:szCs w:val="18"/>
                <w:lang w:eastAsia="en-GB"/>
              </w:rPr>
              <w:t>0.0295</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C826E" w14:textId="77777777" w:rsidR="00CF59EF" w:rsidRDefault="000B5D37">
            <w:pPr>
              <w:keepNext/>
              <w:spacing w:before="60" w:after="60"/>
              <w:rPr>
                <w:rFonts w:eastAsia="Calibri"/>
                <w:sz w:val="18"/>
                <w:szCs w:val="18"/>
                <w:lang w:eastAsia="en-GB"/>
              </w:rPr>
            </w:pPr>
            <w:r>
              <w:rPr>
                <w:rFonts w:eastAsia="Calibri"/>
                <w:sz w:val="18"/>
                <w:szCs w:val="18"/>
                <w:lang w:eastAsia="en-GB"/>
              </w:rPr>
              <w:t>kg/L</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4BC02" w14:textId="77777777" w:rsidR="00CF59EF" w:rsidRDefault="000B5D37">
            <w:pPr>
              <w:keepNext/>
              <w:spacing w:before="60" w:after="60"/>
              <w:rPr>
                <w:rFonts w:eastAsia="Calibri" w:cs="Arial"/>
                <w:sz w:val="18"/>
                <w:szCs w:val="18"/>
                <w:lang w:eastAsia="en-GB"/>
              </w:rPr>
            </w:pPr>
            <w:r>
              <w:rPr>
                <w:rFonts w:eastAsia="Calibri"/>
                <w:sz w:val="18"/>
                <w:szCs w:val="18"/>
              </w:rPr>
              <w:t>Or kg/kg under assumption of density of 1 kg/L.</w:t>
            </w:r>
          </w:p>
        </w:tc>
      </w:tr>
    </w:tbl>
    <w:p w14:paraId="277C6547" w14:textId="77777777" w:rsidR="00CF59EF" w:rsidRDefault="00CF59EF">
      <w:pPr>
        <w:keepNext/>
        <w:rPr>
          <w:rFonts w:eastAsia="Calibri"/>
          <w:lang w:eastAsia="en-US"/>
        </w:rPr>
      </w:pPr>
    </w:p>
    <w:p w14:paraId="6A462749" w14:textId="77777777" w:rsidR="00CF59EF" w:rsidRDefault="000B5D37">
      <w:pPr>
        <w:keepNext/>
        <w:rPr>
          <w:rFonts w:eastAsia="Calibri"/>
          <w:lang w:eastAsia="en-US"/>
        </w:rPr>
      </w:pPr>
      <w:r>
        <w:rPr>
          <w:rFonts w:eastAsia="Calibri"/>
          <w:u w:val="single"/>
          <w:lang w:eastAsia="en-US"/>
        </w:rPr>
        <w:t xml:space="preserve">Calculations for </w:t>
      </w:r>
      <w:r w:rsidR="00D4464C">
        <w:rPr>
          <w:rFonts w:eastAsia="Calibri"/>
          <w:u w:val="single"/>
          <w:lang w:eastAsia="en-US"/>
        </w:rPr>
        <w:t>consumption-based s</w:t>
      </w:r>
      <w:r>
        <w:rPr>
          <w:rFonts w:eastAsia="Calibri"/>
          <w:u w:val="single"/>
          <w:lang w:eastAsia="en-US"/>
        </w:rPr>
        <w:t>cenario</w:t>
      </w:r>
      <w:r w:rsidR="00D4464C">
        <w:rPr>
          <w:rFonts w:eastAsia="Calibri"/>
          <w:u w:val="single"/>
          <w:lang w:eastAsia="en-US"/>
        </w:rPr>
        <w:t>s</w:t>
      </w:r>
    </w:p>
    <w:p w14:paraId="205E1B33" w14:textId="77777777" w:rsidR="00CF59EF" w:rsidRDefault="00CF59EF">
      <w:pPr>
        <w:keepNext/>
        <w:rPr>
          <w:rFonts w:eastAsia="Calibri"/>
          <w:lang w:eastAsia="en-US"/>
        </w:rPr>
      </w:pPr>
    </w:p>
    <w:tbl>
      <w:tblPr>
        <w:tblW w:w="935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055"/>
        <w:gridCol w:w="2879"/>
        <w:gridCol w:w="3421"/>
      </w:tblGrid>
      <w:tr w:rsidR="00CF59EF" w14:paraId="024A00E6" w14:textId="77777777">
        <w:trPr>
          <w:tblHeader/>
        </w:trPr>
        <w:tc>
          <w:tcPr>
            <w:tcW w:w="9355" w:type="dxa"/>
            <w:gridSpan w:val="3"/>
            <w:tcBorders>
              <w:top w:val="single" w:sz="4" w:space="0" w:color="000001"/>
              <w:left w:val="single" w:sz="4" w:space="0" w:color="000001"/>
              <w:bottom w:val="single" w:sz="4" w:space="0" w:color="000001"/>
              <w:right w:val="single" w:sz="4" w:space="0" w:color="000001"/>
            </w:tcBorders>
            <w:shd w:val="clear" w:color="auto" w:fill="FFFFCC"/>
            <w:tcMar>
              <w:left w:w="35" w:type="dxa"/>
            </w:tcMar>
            <w:vAlign w:val="center"/>
          </w:tcPr>
          <w:p w14:paraId="55463AC8" w14:textId="77777777" w:rsidR="00CF59EF" w:rsidRDefault="000B5D37">
            <w:pPr>
              <w:keepNext/>
              <w:spacing w:before="60" w:after="60"/>
              <w:rPr>
                <w:rFonts w:eastAsia="Calibri"/>
                <w:b/>
                <w:color w:val="000000"/>
                <w:sz w:val="18"/>
                <w:szCs w:val="18"/>
                <w:lang w:eastAsia="en-GB"/>
              </w:rPr>
            </w:pPr>
            <w:r>
              <w:rPr>
                <w:rFonts w:eastAsia="Calibri"/>
                <w:b/>
                <w:sz w:val="18"/>
                <w:szCs w:val="18"/>
                <w:lang w:eastAsia="en-US"/>
              </w:rPr>
              <w:t>Resulting local emissions to relevant environmental compartments</w:t>
            </w:r>
          </w:p>
        </w:tc>
      </w:tr>
      <w:tr w:rsidR="00CF59EF" w14:paraId="448B2466" w14:textId="77777777">
        <w:trPr>
          <w:tblHeader/>
        </w:trPr>
        <w:tc>
          <w:tcPr>
            <w:tcW w:w="3055" w:type="dxa"/>
            <w:tcBorders>
              <w:top w:val="single" w:sz="4" w:space="0" w:color="000001"/>
              <w:left w:val="single" w:sz="4" w:space="0" w:color="000001"/>
              <w:bottom w:val="single" w:sz="4" w:space="0" w:color="00000A"/>
              <w:right w:val="single" w:sz="4" w:space="0" w:color="000001"/>
            </w:tcBorders>
            <w:shd w:val="clear" w:color="auto" w:fill="auto"/>
            <w:tcMar>
              <w:left w:w="35" w:type="dxa"/>
            </w:tcMar>
            <w:vAlign w:val="center"/>
          </w:tcPr>
          <w:p w14:paraId="6C111CCB" w14:textId="77777777"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Compartment</w:t>
            </w:r>
          </w:p>
        </w:tc>
        <w:tc>
          <w:tcPr>
            <w:tcW w:w="2879" w:type="dxa"/>
            <w:tcBorders>
              <w:top w:val="single" w:sz="4" w:space="0" w:color="000001"/>
              <w:bottom w:val="single" w:sz="4" w:space="0" w:color="00000A"/>
              <w:right w:val="single" w:sz="4" w:space="0" w:color="000001"/>
            </w:tcBorders>
            <w:shd w:val="clear" w:color="auto" w:fill="auto"/>
            <w:vAlign w:val="center"/>
          </w:tcPr>
          <w:p w14:paraId="678A7C26" w14:textId="77777777"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Local emission (</w:t>
            </w:r>
            <w:proofErr w:type="spellStart"/>
            <w:r>
              <w:rPr>
                <w:rFonts w:eastAsia="Calibri"/>
                <w:b/>
                <w:color w:val="000000"/>
                <w:sz w:val="18"/>
                <w:szCs w:val="18"/>
                <w:lang w:eastAsia="en-GB"/>
              </w:rPr>
              <w:t>Elocal</w:t>
            </w:r>
            <w:r>
              <w:rPr>
                <w:rFonts w:eastAsia="Calibri"/>
                <w:b/>
                <w:color w:val="000000"/>
                <w:sz w:val="18"/>
                <w:szCs w:val="18"/>
                <w:vertAlign w:val="subscript"/>
                <w:lang w:eastAsia="en-GB"/>
              </w:rPr>
              <w:t>compartment</w:t>
            </w:r>
            <w:proofErr w:type="spellEnd"/>
            <w:r>
              <w:rPr>
                <w:rFonts w:eastAsia="Calibri"/>
                <w:b/>
                <w:color w:val="000000"/>
                <w:sz w:val="18"/>
                <w:szCs w:val="18"/>
                <w:lang w:eastAsia="en-GB"/>
              </w:rPr>
              <w:t>) [kg/d]</w:t>
            </w:r>
          </w:p>
        </w:tc>
        <w:tc>
          <w:tcPr>
            <w:tcW w:w="3421" w:type="dxa"/>
            <w:tcBorders>
              <w:top w:val="single" w:sz="4" w:space="0" w:color="000001"/>
              <w:bottom w:val="single" w:sz="4" w:space="0" w:color="00000A"/>
              <w:right w:val="single" w:sz="4" w:space="0" w:color="000001"/>
            </w:tcBorders>
            <w:shd w:val="clear" w:color="auto" w:fill="auto"/>
            <w:vAlign w:val="center"/>
          </w:tcPr>
          <w:p w14:paraId="46C9BE02" w14:textId="77777777"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Remarks</w:t>
            </w:r>
          </w:p>
        </w:tc>
      </w:tr>
      <w:tr w:rsidR="00CF59EF" w14:paraId="350654DB"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9003672" w14:textId="77777777" w:rsidR="00CF59EF" w:rsidRDefault="006C5775">
            <w:pPr>
              <w:keepNext/>
              <w:spacing w:before="60" w:after="60"/>
              <w:rPr>
                <w:color w:val="000000"/>
                <w:sz w:val="18"/>
                <w:szCs w:val="18"/>
                <w:lang w:eastAsia="en-GB"/>
              </w:rPr>
            </w:pPr>
            <w:r>
              <w:rPr>
                <w:rFonts w:eastAsia="Calibri" w:cs="Arial"/>
                <w:sz w:val="18"/>
                <w:szCs w:val="18"/>
                <w:lang w:eastAsia="en-GB"/>
              </w:rPr>
              <w:t>professional use in surface cleaning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83581A5" w14:textId="77777777" w:rsidR="00CF59EF" w:rsidRDefault="000B5D37">
            <w:pPr>
              <w:keepNext/>
              <w:spacing w:before="60" w:after="60"/>
              <w:rPr>
                <w:color w:val="000000"/>
                <w:sz w:val="18"/>
                <w:szCs w:val="18"/>
                <w:lang w:eastAsia="en-GB"/>
              </w:rPr>
            </w:pPr>
            <w:r>
              <w:rPr>
                <w:color w:val="000000"/>
                <w:sz w:val="18"/>
                <w:szCs w:val="18"/>
                <w:lang w:eastAsia="en-GB"/>
              </w:rPr>
              <w:t>0.059</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7BB3C56" w14:textId="77777777" w:rsidR="00CF59EF" w:rsidRDefault="000B5D37">
            <w:pPr>
              <w:keepNext/>
              <w:spacing w:before="60" w:after="60"/>
              <w:rPr>
                <w:color w:val="000000"/>
                <w:sz w:val="18"/>
                <w:szCs w:val="18"/>
                <w:lang w:eastAsia="en-GB"/>
              </w:rPr>
            </w:pPr>
            <w:r>
              <w:rPr>
                <w:color w:val="000000"/>
                <w:sz w:val="18"/>
                <w:szCs w:val="18"/>
                <w:lang w:eastAsia="en-GB"/>
              </w:rPr>
              <w:t>-</w:t>
            </w:r>
          </w:p>
        </w:tc>
      </w:tr>
      <w:tr w:rsidR="00CF59EF" w14:paraId="25074BA8"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EF23671" w14:textId="77777777" w:rsidR="00CF59EF" w:rsidRDefault="006C5775">
            <w:pPr>
              <w:keepNext/>
              <w:spacing w:before="60" w:after="60"/>
              <w:rPr>
                <w:color w:val="000000"/>
                <w:sz w:val="18"/>
                <w:szCs w:val="18"/>
                <w:lang w:eastAsia="en-GB"/>
              </w:rPr>
            </w:pPr>
            <w:r>
              <w:rPr>
                <w:rFonts w:eastAsia="Calibri" w:cs="Arial"/>
                <w:sz w:val="18"/>
                <w:szCs w:val="18"/>
                <w:lang w:eastAsia="en-GB"/>
              </w:rPr>
              <w:t>professional use in large-scale laundry</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D1F6192" w14:textId="77777777" w:rsidR="00CF59EF" w:rsidRDefault="000B5D37">
            <w:pPr>
              <w:keepNext/>
              <w:spacing w:before="60" w:after="60"/>
              <w:rPr>
                <w:color w:val="000000"/>
                <w:sz w:val="18"/>
                <w:szCs w:val="18"/>
                <w:lang w:eastAsia="en-GB"/>
              </w:rPr>
            </w:pPr>
            <w:r>
              <w:rPr>
                <w:color w:val="000000"/>
                <w:sz w:val="18"/>
                <w:szCs w:val="18"/>
                <w:lang w:eastAsia="en-GB"/>
              </w:rPr>
              <w:t>4.25</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7EEF3AE" w14:textId="77777777" w:rsidR="00CF59EF" w:rsidRDefault="000B5D37">
            <w:pPr>
              <w:keepNext/>
              <w:spacing w:before="60" w:after="60"/>
              <w:rPr>
                <w:color w:val="000000"/>
                <w:sz w:val="18"/>
                <w:szCs w:val="18"/>
                <w:lang w:eastAsia="en-GB"/>
              </w:rPr>
            </w:pPr>
            <w:r>
              <w:rPr>
                <w:color w:val="000000"/>
                <w:sz w:val="18"/>
                <w:szCs w:val="18"/>
                <w:lang w:eastAsia="en-GB"/>
              </w:rPr>
              <w:t>-</w:t>
            </w:r>
          </w:p>
        </w:tc>
      </w:tr>
      <w:tr w:rsidR="00CF59EF" w14:paraId="2FC8A9F4"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3EE1FCF" w14:textId="77777777" w:rsidR="00CF59EF" w:rsidRDefault="006C5775">
            <w:pPr>
              <w:keepNext/>
              <w:spacing w:before="60" w:after="60"/>
              <w:rPr>
                <w:color w:val="000000"/>
                <w:sz w:val="18"/>
                <w:szCs w:val="18"/>
                <w:lang w:eastAsia="en-GB"/>
              </w:rPr>
            </w:pPr>
            <w:r>
              <w:rPr>
                <w:rFonts w:eastAsia="Calibri" w:cs="Arial"/>
                <w:sz w:val="18"/>
                <w:szCs w:val="18"/>
                <w:lang w:eastAsia="en-GB"/>
              </w:rPr>
              <w:t>non-professional use in surface cleaning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1470F63" w14:textId="77777777" w:rsidR="00CF59EF" w:rsidRDefault="000B5D37">
            <w:pPr>
              <w:keepNext/>
              <w:spacing w:before="60" w:after="60"/>
              <w:rPr>
                <w:color w:val="000000"/>
                <w:sz w:val="18"/>
                <w:szCs w:val="18"/>
                <w:lang w:eastAsia="en-GB"/>
              </w:rPr>
            </w:pPr>
            <w:r>
              <w:rPr>
                <w:color w:val="000000"/>
                <w:sz w:val="18"/>
                <w:szCs w:val="18"/>
                <w:lang w:eastAsia="en-GB"/>
              </w:rPr>
              <w:t>1.48</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E25EB82" w14:textId="77777777" w:rsidR="00CF59EF" w:rsidRDefault="000B5D37">
            <w:pPr>
              <w:keepNext/>
              <w:spacing w:before="60" w:after="60"/>
              <w:rPr>
                <w:color w:val="000000"/>
                <w:sz w:val="18"/>
                <w:szCs w:val="18"/>
                <w:lang w:eastAsia="en-GB"/>
              </w:rPr>
            </w:pPr>
            <w:r>
              <w:rPr>
                <w:color w:val="000000"/>
                <w:sz w:val="18"/>
                <w:szCs w:val="18"/>
                <w:lang w:eastAsia="en-GB"/>
              </w:rPr>
              <w:t>-</w:t>
            </w:r>
          </w:p>
        </w:tc>
      </w:tr>
      <w:tr w:rsidR="00CF59EF" w14:paraId="41B13BF4"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02CBECF" w14:textId="77777777" w:rsidR="00CF59EF" w:rsidRDefault="006C5775">
            <w:pPr>
              <w:keepNext/>
              <w:spacing w:before="60" w:after="60"/>
              <w:rPr>
                <w:color w:val="000000"/>
                <w:sz w:val="18"/>
                <w:szCs w:val="18"/>
                <w:lang w:eastAsia="en-GB"/>
              </w:rPr>
            </w:pPr>
            <w:r>
              <w:rPr>
                <w:rFonts w:eastAsia="Calibri" w:cs="Arial"/>
                <w:sz w:val="18"/>
                <w:szCs w:val="18"/>
                <w:lang w:eastAsia="en-GB"/>
              </w:rPr>
              <w:t>non-professional use in fabric washing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FA0E022" w14:textId="77777777" w:rsidR="00CF59EF" w:rsidRDefault="000B5D37">
            <w:pPr>
              <w:keepNext/>
              <w:spacing w:before="60" w:after="60"/>
              <w:rPr>
                <w:color w:val="000000"/>
                <w:sz w:val="18"/>
                <w:szCs w:val="18"/>
                <w:lang w:eastAsia="en-GB"/>
              </w:rPr>
            </w:pPr>
            <w:r>
              <w:rPr>
                <w:color w:val="000000"/>
                <w:sz w:val="18"/>
                <w:szCs w:val="18"/>
                <w:lang w:eastAsia="en-GB"/>
              </w:rPr>
              <w:t>3.06</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9C33ABD" w14:textId="77777777" w:rsidR="00CF59EF" w:rsidRDefault="000B5D37">
            <w:pPr>
              <w:keepNext/>
              <w:spacing w:before="60" w:after="60"/>
              <w:rPr>
                <w:color w:val="000000"/>
                <w:sz w:val="18"/>
                <w:szCs w:val="18"/>
                <w:lang w:eastAsia="en-GB"/>
              </w:rPr>
            </w:pPr>
            <w:r>
              <w:rPr>
                <w:color w:val="000000"/>
                <w:sz w:val="18"/>
                <w:szCs w:val="18"/>
                <w:lang w:eastAsia="en-GB"/>
              </w:rPr>
              <w:t>-</w:t>
            </w:r>
          </w:p>
        </w:tc>
      </w:tr>
      <w:tr w:rsidR="00CF59EF" w14:paraId="40D13AA7"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755CA92" w14:textId="77777777" w:rsidR="00CF59EF" w:rsidRDefault="006C5775">
            <w:pPr>
              <w:keepNext/>
              <w:spacing w:before="60" w:after="60"/>
              <w:rPr>
                <w:color w:val="000000"/>
                <w:sz w:val="18"/>
                <w:szCs w:val="18"/>
                <w:lang w:eastAsia="en-GB"/>
              </w:rPr>
            </w:pPr>
            <w:r>
              <w:rPr>
                <w:rFonts w:eastAsia="Calibri" w:cs="Arial"/>
                <w:sz w:val="18"/>
                <w:szCs w:val="18"/>
                <w:lang w:eastAsia="en-GB"/>
              </w:rPr>
              <w:t>non-professional use in dish washing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1490F17" w14:textId="77777777" w:rsidR="00CF59EF" w:rsidRDefault="000B5D37">
            <w:pPr>
              <w:keepNext/>
              <w:spacing w:before="60" w:after="60"/>
              <w:rPr>
                <w:color w:val="000000"/>
                <w:sz w:val="18"/>
                <w:szCs w:val="18"/>
                <w:lang w:eastAsia="en-GB"/>
              </w:rPr>
            </w:pPr>
            <w:r>
              <w:rPr>
                <w:color w:val="000000"/>
                <w:sz w:val="18"/>
                <w:szCs w:val="18"/>
                <w:lang w:eastAsia="en-GB"/>
              </w:rPr>
              <w:t>0.43</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AD4CD35" w14:textId="77777777" w:rsidR="00CF59EF" w:rsidRDefault="000B5D37">
            <w:pPr>
              <w:keepNext/>
              <w:spacing w:before="60" w:after="60"/>
              <w:rPr>
                <w:color w:val="000000"/>
                <w:sz w:val="18"/>
                <w:szCs w:val="18"/>
                <w:lang w:eastAsia="en-GB"/>
              </w:rPr>
            </w:pPr>
            <w:r>
              <w:rPr>
                <w:color w:val="000000"/>
                <w:sz w:val="18"/>
                <w:szCs w:val="18"/>
                <w:lang w:eastAsia="en-GB"/>
              </w:rPr>
              <w:t>-</w:t>
            </w:r>
          </w:p>
        </w:tc>
      </w:tr>
      <w:tr w:rsidR="00CF59EF" w14:paraId="49688DCC" w14:textId="77777777">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5C3EEB0" w14:textId="77777777" w:rsidR="00CF59EF" w:rsidRDefault="000B5D37">
            <w:pPr>
              <w:keepNext/>
              <w:spacing w:before="60" w:after="60"/>
              <w:rPr>
                <w:b/>
                <w:color w:val="000000"/>
                <w:sz w:val="18"/>
                <w:szCs w:val="18"/>
                <w:lang w:eastAsia="en-GB"/>
              </w:rPr>
            </w:pPr>
            <w:r>
              <w:rPr>
                <w:b/>
                <w:color w:val="000000"/>
                <w:sz w:val="18"/>
                <w:szCs w:val="18"/>
                <w:lang w:eastAsia="en-GB"/>
              </w:rPr>
              <w:t>STP aggregated exposure</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8A89D7F" w14:textId="77777777" w:rsidR="00CF59EF" w:rsidRDefault="000B5D37">
            <w:pPr>
              <w:keepNext/>
              <w:spacing w:before="60" w:after="60"/>
              <w:rPr>
                <w:b/>
                <w:color w:val="000000"/>
                <w:sz w:val="18"/>
                <w:szCs w:val="18"/>
                <w:lang w:eastAsia="en-GB"/>
              </w:rPr>
            </w:pPr>
            <w:r>
              <w:rPr>
                <w:b/>
                <w:color w:val="000000"/>
                <w:sz w:val="18"/>
                <w:szCs w:val="18"/>
                <w:lang w:eastAsia="en-GB"/>
              </w:rPr>
              <w:t>9.27</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7AED685" w14:textId="77777777" w:rsidR="00CF59EF" w:rsidRPr="002838C1" w:rsidRDefault="00D428E3" w:rsidP="00D428E3">
            <w:pPr>
              <w:keepNext/>
              <w:spacing w:before="60" w:after="60"/>
              <w:rPr>
                <w:color w:val="000000"/>
                <w:sz w:val="18"/>
                <w:szCs w:val="18"/>
                <w:lang w:eastAsia="en-GB"/>
              </w:rPr>
            </w:pPr>
            <w:r>
              <w:rPr>
                <w:color w:val="000000"/>
                <w:sz w:val="18"/>
                <w:szCs w:val="18"/>
                <w:lang w:eastAsia="en-GB"/>
              </w:rPr>
              <w:t>The total local emission calculated for consumption-based scenarios is w</w:t>
            </w:r>
            <w:r w:rsidR="000B5D37" w:rsidRPr="002838C1">
              <w:rPr>
                <w:color w:val="000000"/>
                <w:sz w:val="18"/>
                <w:szCs w:val="18"/>
                <w:lang w:eastAsia="en-GB"/>
              </w:rPr>
              <w:t>orst-case</w:t>
            </w:r>
            <w:r>
              <w:rPr>
                <w:color w:val="000000"/>
                <w:sz w:val="18"/>
                <w:szCs w:val="18"/>
                <w:lang w:eastAsia="en-GB"/>
              </w:rPr>
              <w:t xml:space="preserve"> compared to the </w:t>
            </w:r>
            <w:r w:rsidR="00B90588" w:rsidRPr="002838C1">
              <w:rPr>
                <w:color w:val="000000"/>
                <w:sz w:val="18"/>
                <w:szCs w:val="18"/>
                <w:lang w:eastAsia="en-GB"/>
              </w:rPr>
              <w:t xml:space="preserve">tonnage-based </w:t>
            </w:r>
            <w:r>
              <w:rPr>
                <w:color w:val="000000"/>
                <w:sz w:val="18"/>
                <w:szCs w:val="18"/>
                <w:lang w:eastAsia="en-GB"/>
              </w:rPr>
              <w:t xml:space="preserve">approach. Therefore the </w:t>
            </w:r>
            <w:r w:rsidR="00B90588" w:rsidRPr="002838C1">
              <w:rPr>
                <w:color w:val="000000"/>
                <w:sz w:val="18"/>
                <w:szCs w:val="18"/>
                <w:lang w:eastAsia="en-GB"/>
              </w:rPr>
              <w:t xml:space="preserve">consumption-based </w:t>
            </w:r>
            <w:r w:rsidR="000B5D37" w:rsidRPr="002838C1">
              <w:rPr>
                <w:color w:val="000000"/>
                <w:sz w:val="18"/>
                <w:szCs w:val="18"/>
                <w:lang w:eastAsia="en-GB"/>
              </w:rPr>
              <w:t>scenarios</w:t>
            </w:r>
            <w:r w:rsidR="00070C64" w:rsidRPr="002838C1">
              <w:rPr>
                <w:color w:val="000000"/>
                <w:sz w:val="18"/>
                <w:szCs w:val="18"/>
                <w:lang w:eastAsia="en-GB"/>
              </w:rPr>
              <w:t xml:space="preserve"> </w:t>
            </w:r>
            <w:r>
              <w:rPr>
                <w:color w:val="000000"/>
                <w:sz w:val="18"/>
                <w:szCs w:val="18"/>
                <w:lang w:eastAsia="en-GB"/>
              </w:rPr>
              <w:t xml:space="preserve">are </w:t>
            </w:r>
            <w:r w:rsidR="00B90588" w:rsidRPr="002838C1">
              <w:rPr>
                <w:color w:val="000000"/>
                <w:sz w:val="18"/>
                <w:szCs w:val="18"/>
                <w:lang w:eastAsia="en-GB"/>
              </w:rPr>
              <w:t>u</w:t>
            </w:r>
            <w:r w:rsidR="000B5D37" w:rsidRPr="002838C1">
              <w:rPr>
                <w:color w:val="000000"/>
                <w:sz w:val="18"/>
                <w:szCs w:val="18"/>
                <w:lang w:eastAsia="en-GB"/>
              </w:rPr>
              <w:t xml:space="preserve">sed as input for further </w:t>
            </w:r>
            <w:r w:rsidR="002838C1" w:rsidRPr="002838C1">
              <w:rPr>
                <w:color w:val="000000"/>
                <w:sz w:val="18"/>
                <w:szCs w:val="18"/>
                <w:lang w:eastAsia="en-GB"/>
              </w:rPr>
              <w:t>calculations (i.e. PECs and PEC/PNEC values)</w:t>
            </w:r>
          </w:p>
        </w:tc>
      </w:tr>
    </w:tbl>
    <w:p w14:paraId="4B14B103" w14:textId="77777777" w:rsidR="00B90588" w:rsidRDefault="00B90588">
      <w:pPr>
        <w:rPr>
          <w:color w:val="000000"/>
          <w:sz w:val="18"/>
          <w:szCs w:val="18"/>
          <w:lang w:eastAsia="en-GB"/>
        </w:rPr>
      </w:pPr>
    </w:p>
    <w:p w14:paraId="73D79B20" w14:textId="77777777" w:rsidR="00CF59EF" w:rsidRDefault="000B5D37" w:rsidP="006B11A4">
      <w:pPr>
        <w:keepNext/>
        <w:rPr>
          <w:rFonts w:eastAsia="Calibri"/>
          <w:b/>
          <w:i/>
          <w:sz w:val="22"/>
          <w:szCs w:val="22"/>
          <w:lang w:eastAsia="en-US"/>
        </w:rPr>
      </w:pPr>
      <w:bookmarkStart w:id="1599" w:name="_Toc377651046"/>
      <w:bookmarkStart w:id="1600" w:name="_Toc403472800"/>
      <w:bookmarkStart w:id="1601" w:name="_Toc389729115"/>
      <w:r>
        <w:rPr>
          <w:rFonts w:eastAsia="Calibri"/>
          <w:b/>
          <w:i/>
          <w:sz w:val="22"/>
          <w:szCs w:val="22"/>
          <w:lang w:eastAsia="en-US"/>
        </w:rPr>
        <w:lastRenderedPageBreak/>
        <w:t>Fate and distribution in exposed environment</w:t>
      </w:r>
      <w:bookmarkEnd w:id="1599"/>
      <w:bookmarkEnd w:id="1600"/>
      <w:bookmarkEnd w:id="1601"/>
      <w:r>
        <w:rPr>
          <w:rFonts w:eastAsia="Calibri"/>
          <w:b/>
          <w:i/>
          <w:sz w:val="22"/>
          <w:szCs w:val="22"/>
          <w:lang w:eastAsia="en-US"/>
        </w:rPr>
        <w:t>al compartments</w:t>
      </w:r>
    </w:p>
    <w:p w14:paraId="31670F11" w14:textId="77777777" w:rsidR="00CF59EF" w:rsidRDefault="00CF59EF" w:rsidP="006B11A4">
      <w:pPr>
        <w:keepNext/>
        <w:rPr>
          <w:rFonts w:eastAsia="Calibri"/>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05"/>
        <w:gridCol w:w="756"/>
        <w:gridCol w:w="1186"/>
        <w:gridCol w:w="729"/>
        <w:gridCol w:w="1070"/>
        <w:gridCol w:w="726"/>
        <w:gridCol w:w="498"/>
        <w:gridCol w:w="724"/>
        <w:gridCol w:w="1057"/>
        <w:gridCol w:w="1052"/>
      </w:tblGrid>
      <w:tr w:rsidR="00CF59EF" w14:paraId="4599F03C" w14:textId="77777777" w:rsidTr="00317ACA">
        <w:trPr>
          <w:trHeight w:val="586"/>
          <w:tblHeader/>
        </w:trPr>
        <w:tc>
          <w:tcPr>
            <w:tcW w:w="9429" w:type="dxa"/>
            <w:gridSpan w:val="10"/>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59B9BD24" w14:textId="77777777" w:rsidR="00CF59EF" w:rsidRDefault="000B5D37" w:rsidP="006B11A4">
            <w:pPr>
              <w:keepNext/>
              <w:rPr>
                <w:rFonts w:eastAsia="Calibri" w:cs="Arial"/>
                <w:b/>
                <w:color w:val="000000"/>
                <w:sz w:val="18"/>
                <w:szCs w:val="18"/>
                <w:lang w:eastAsia="en-GB"/>
              </w:rPr>
            </w:pPr>
            <w:r>
              <w:rPr>
                <w:rFonts w:eastAsia="Calibri" w:cs="Arial"/>
                <w:b/>
                <w:color w:val="000000"/>
                <w:sz w:val="18"/>
                <w:szCs w:val="18"/>
                <w:lang w:eastAsia="en-GB"/>
              </w:rPr>
              <w:t>Identification of relevant receiving compartments based on the exposure pathway</w:t>
            </w:r>
          </w:p>
        </w:tc>
      </w:tr>
      <w:tr w:rsidR="00D4464C" w14:paraId="03E91B89" w14:textId="77777777" w:rsidTr="00317ACA">
        <w:trPr>
          <w:tblHead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205B0" w14:textId="77777777" w:rsidR="00CF59EF" w:rsidRDefault="00CF59EF" w:rsidP="006B11A4">
            <w:pPr>
              <w:keepNext/>
              <w:jc w:val="center"/>
              <w:rPr>
                <w:rFonts w:eastAsia="Calibri"/>
                <w:bCs/>
                <w:color w:val="000000"/>
                <w:sz w:val="18"/>
                <w:lang w:eastAsia="en-G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0BC10D41"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Fresh-water</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082621B3"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Freshwater sediment</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39E79483"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Sea-water</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39402F"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Seawater sediment</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5FEF57"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STP</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DB326"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Air</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E8AC7" w14:textId="77777777"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Soil</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9EC331" w14:textId="77777777"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Ground-water</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2FB312E8" w14:textId="77777777"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Other</w:t>
            </w:r>
          </w:p>
        </w:tc>
      </w:tr>
      <w:tr w:rsidR="00D4464C" w14:paraId="14E15FB0" w14:textId="77777777" w:rsidTr="00317ACA">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214AA" w14:textId="77777777" w:rsidR="00CF59EF" w:rsidRDefault="00D4464C" w:rsidP="006B11A4">
            <w:pPr>
              <w:keepNext/>
              <w:rPr>
                <w:rFonts w:eastAsia="Calibri"/>
                <w:bCs/>
                <w:color w:val="000000"/>
                <w:sz w:val="18"/>
                <w:lang w:eastAsia="en-GB"/>
              </w:rPr>
            </w:pPr>
            <w:r>
              <w:rPr>
                <w:rFonts w:eastAsia="Calibri"/>
                <w:bCs/>
                <w:color w:val="000000"/>
                <w:sz w:val="18"/>
                <w:lang w:eastAsia="en-GB"/>
              </w:rPr>
              <w:t>Tonnage-based scenario 1</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366F7295" w14:textId="77777777"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6C8B9A23" w14:textId="77777777"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42A53304"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2F57F"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0E932" w14:textId="77777777"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EF7C2" w14:textId="77777777"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A3AA16" w14:textId="77777777" w:rsidR="00CF59EF" w:rsidRDefault="002F0DC6"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Yes</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0FB50" w14:textId="77777777" w:rsidR="00CF59EF" w:rsidRDefault="002F0DC6"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Yes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5276066D" w14:textId="77777777"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No</w:t>
            </w:r>
            <w:r w:rsidR="002F0DC6">
              <w:rPr>
                <w:rFonts w:eastAsia="Calibri"/>
                <w:bCs/>
                <w:color w:val="000000"/>
                <w:sz w:val="18"/>
                <w:lang w:eastAsia="en-GB"/>
              </w:rPr>
              <w:t>t relevant</w:t>
            </w:r>
          </w:p>
        </w:tc>
      </w:tr>
      <w:tr w:rsidR="00D4464C" w14:paraId="3330C60F" w14:textId="77777777" w:rsidTr="00317ACA">
        <w:trPr>
          <w:trHeight w:val="169"/>
        </w:trPr>
        <w:tc>
          <w:tcPr>
            <w:tcW w:w="1404"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25209F7B" w14:textId="77777777" w:rsidR="00CF59EF" w:rsidRDefault="00D4464C" w:rsidP="006B11A4">
            <w:pPr>
              <w:keepNext/>
              <w:tabs>
                <w:tab w:val="center" w:pos="4536"/>
                <w:tab w:val="right" w:pos="9072"/>
              </w:tabs>
              <w:rPr>
                <w:rFonts w:eastAsia="Calibri"/>
                <w:color w:val="000000"/>
                <w:sz w:val="18"/>
                <w:lang w:eastAsia="en-GB"/>
              </w:rPr>
            </w:pPr>
            <w:r>
              <w:rPr>
                <w:rFonts w:eastAsia="Calibri"/>
                <w:color w:val="000000"/>
                <w:sz w:val="18"/>
                <w:lang w:eastAsia="en-GB"/>
              </w:rPr>
              <w:t>Consumption-based s</w:t>
            </w:r>
            <w:r w:rsidR="000B5D37">
              <w:rPr>
                <w:rFonts w:eastAsia="Calibri"/>
                <w:color w:val="000000"/>
                <w:sz w:val="18"/>
                <w:lang w:eastAsia="en-GB"/>
              </w:rPr>
              <w:t>cenario 2</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6F930287"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75D4F4DE"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05C2E45C"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F4CB4"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EE6077"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7B596"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FDF4BD"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2C7D0"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14:paraId="39D81F2D" w14:textId="77777777"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Not relevant</w:t>
            </w:r>
          </w:p>
        </w:tc>
      </w:tr>
    </w:tbl>
    <w:p w14:paraId="712B0D94" w14:textId="77777777" w:rsidR="008A006F" w:rsidRDefault="008A006F"/>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95"/>
        <w:gridCol w:w="1555"/>
        <w:gridCol w:w="826"/>
        <w:gridCol w:w="4427"/>
      </w:tblGrid>
      <w:tr w:rsidR="00CF59EF" w14:paraId="064FA6F2" w14:textId="77777777" w:rsidTr="00317ACA">
        <w:trPr>
          <w:trHeight w:val="586"/>
        </w:trPr>
        <w:tc>
          <w:tcPr>
            <w:tcW w:w="9429" w:type="dxa"/>
            <w:gridSpan w:val="4"/>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1BB4E8B2" w14:textId="77777777" w:rsidR="00CF59EF" w:rsidRDefault="000B5D37">
            <w:pPr>
              <w:keepNext/>
              <w:rPr>
                <w:rFonts w:eastAsia="Calibri" w:cs="Arial"/>
                <w:b/>
                <w:color w:val="000000"/>
                <w:sz w:val="18"/>
                <w:szCs w:val="18"/>
                <w:lang w:eastAsia="en-GB"/>
              </w:rPr>
            </w:pPr>
            <w:r>
              <w:rPr>
                <w:rFonts w:eastAsia="Calibri" w:cs="Arial"/>
                <w:b/>
                <w:color w:val="000000"/>
                <w:sz w:val="18"/>
                <w:szCs w:val="18"/>
                <w:lang w:eastAsia="en-GB"/>
              </w:rPr>
              <w:t>Input parameters (only set values) for calculating the fate and distribution in the environment</w:t>
            </w:r>
          </w:p>
        </w:tc>
      </w:tr>
      <w:tr w:rsidR="00D4464C" w14:paraId="1AA8DFD5" w14:textId="77777777" w:rsidTr="00317ACA">
        <w:trPr>
          <w:trHeight w:val="352"/>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C440D2" w14:textId="77777777" w:rsidR="00CF59EF" w:rsidRDefault="000B5D37">
            <w:pPr>
              <w:keepNext/>
              <w:rPr>
                <w:rFonts w:eastAsia="Calibri" w:cs="Arial"/>
                <w:b/>
                <w:color w:val="000000"/>
                <w:sz w:val="18"/>
                <w:szCs w:val="18"/>
                <w:lang w:eastAsia="en-GB"/>
              </w:rPr>
            </w:pPr>
            <w:r>
              <w:rPr>
                <w:rFonts w:eastAsia="Calibri" w:cs="Arial"/>
                <w:b/>
                <w:bCs/>
                <w:color w:val="000000"/>
                <w:sz w:val="18"/>
                <w:szCs w:val="18"/>
                <w:lang w:eastAsia="en-GB"/>
              </w:rPr>
              <w:t xml:space="preserve">Input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F786E3" w14:textId="77777777" w:rsidR="00CF59EF" w:rsidRDefault="000B5D37">
            <w:pPr>
              <w:keepNext/>
              <w:rPr>
                <w:rFonts w:eastAsia="Calibri" w:cs="Arial"/>
                <w:b/>
                <w:color w:val="000000"/>
                <w:sz w:val="18"/>
                <w:szCs w:val="18"/>
                <w:lang w:eastAsia="en-GB"/>
              </w:rPr>
            </w:pPr>
            <w:r>
              <w:rPr>
                <w:rFonts w:eastAsia="Calibri" w:cs="Arial"/>
                <w:b/>
                <w:bCs/>
                <w:color w:val="000000"/>
                <w:sz w:val="18"/>
                <w:szCs w:val="18"/>
                <w:lang w:eastAsia="en-GB"/>
              </w:rPr>
              <w:t xml:space="preserve">Value </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FEA10F" w14:textId="77777777" w:rsidR="00CF59EF" w:rsidRDefault="000B5D37">
            <w:pPr>
              <w:keepNext/>
              <w:rPr>
                <w:rFonts w:eastAsia="Calibri" w:cs="Arial"/>
                <w:b/>
                <w:bCs/>
                <w:color w:val="000000"/>
                <w:sz w:val="18"/>
                <w:szCs w:val="18"/>
                <w:lang w:eastAsia="en-GB"/>
              </w:rPr>
            </w:pPr>
            <w:r>
              <w:rPr>
                <w:rFonts w:eastAsia="Calibri" w:cs="Arial"/>
                <w:b/>
                <w:bCs/>
                <w:color w:val="000000"/>
                <w:sz w:val="18"/>
                <w:szCs w:val="18"/>
                <w:lang w:eastAsia="en-GB"/>
              </w:rPr>
              <w:t>Unit</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759A2F" w14:textId="77777777" w:rsidR="00CF59EF" w:rsidRDefault="000B5D37">
            <w:pPr>
              <w:keepNext/>
              <w:rPr>
                <w:rFonts w:eastAsia="Calibri" w:cs="Arial"/>
                <w:b/>
                <w:bCs/>
                <w:color w:val="000000"/>
                <w:sz w:val="18"/>
                <w:szCs w:val="18"/>
                <w:lang w:eastAsia="en-GB"/>
              </w:rPr>
            </w:pPr>
            <w:r>
              <w:rPr>
                <w:rFonts w:eastAsia="Calibri" w:cs="Arial"/>
                <w:b/>
                <w:bCs/>
                <w:color w:val="000000"/>
                <w:sz w:val="18"/>
                <w:szCs w:val="18"/>
                <w:lang w:eastAsia="en-GB"/>
              </w:rPr>
              <w:t>Remarks</w:t>
            </w:r>
          </w:p>
        </w:tc>
      </w:tr>
      <w:tr w:rsidR="00D4464C" w14:paraId="2E13DD81" w14:textId="77777777" w:rsidTr="00317ACA">
        <w:trPr>
          <w:trHeight w:val="532"/>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9FB14A"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Molecular weight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614598"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144.11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B7864C"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g/mol</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A806A6" w14:textId="77777777" w:rsidR="00CF59EF" w:rsidRDefault="00A547BD" w:rsidP="00B779FF">
            <w:pPr>
              <w:keepNext/>
              <w:rPr>
                <w:rFonts w:eastAsia="Calibri" w:cs="Arial"/>
                <w:color w:val="000000"/>
                <w:sz w:val="18"/>
                <w:szCs w:val="18"/>
                <w:lang w:eastAsia="en-GB"/>
              </w:rPr>
            </w:pPr>
            <w:r>
              <w:rPr>
                <w:rFonts w:eastAsia="Calibri" w:cs="Arial"/>
                <w:color w:val="000000"/>
                <w:sz w:val="18"/>
                <w:szCs w:val="18"/>
                <w:lang w:eastAsia="en-GB"/>
              </w:rPr>
              <w:t>4.4</w:t>
            </w:r>
            <w:r w:rsidR="00020333">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Ref</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 xml:space="preserve"> no.</w:t>
            </w:r>
            <w:r w:rsidR="00B779FF">
              <w:rPr>
                <w:rFonts w:eastAsia="Calibri" w:cs="Arial"/>
                <w:color w:val="000000"/>
                <w:sz w:val="18"/>
                <w:szCs w:val="18"/>
                <w:lang w:eastAsia="en-GB"/>
              </w:rPr>
              <w:t xml:space="preserve"> </w:t>
            </w:r>
            <w:r w:rsidR="00B779FF" w:rsidRPr="00CB767D">
              <w:rPr>
                <w:rFonts w:eastAsia="Calibri" w:cs="Arial"/>
                <w:color w:val="000000"/>
                <w:sz w:val="18"/>
                <w:szCs w:val="18"/>
                <w:lang w:eastAsia="en-GB"/>
              </w:rPr>
              <w:t>2.2.2-01</w:t>
            </w:r>
            <w:r w:rsidR="00B779FF">
              <w:rPr>
                <w:rFonts w:eastAsia="Calibri" w:cs="Arial"/>
                <w:color w:val="000000"/>
                <w:sz w:val="18"/>
                <w:szCs w:val="18"/>
                <w:lang w:eastAsia="en-GB"/>
              </w:rPr>
              <w:t>)</w:t>
            </w:r>
            <w:r w:rsidR="00A765E1">
              <w:rPr>
                <w:rFonts w:eastAsia="Calibri" w:cs="Arial"/>
                <w:color w:val="000000"/>
                <w:sz w:val="18"/>
                <w:szCs w:val="18"/>
                <w:lang w:eastAsia="en-GB"/>
              </w:rPr>
              <w:t xml:space="preserve"> </w:t>
            </w:r>
          </w:p>
        </w:tc>
      </w:tr>
      <w:tr w:rsidR="00D4464C" w14:paraId="29B7AE49" w14:textId="77777777" w:rsidTr="00317ACA">
        <w:trPr>
          <w:trHeight w:val="523"/>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25777A"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 xml:space="preserve">Vapour pressure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656673"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0.11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182F89"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Pa</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E441A9" w14:textId="77777777" w:rsidR="00CF59EF" w:rsidRDefault="00510562" w:rsidP="008A006F">
            <w:pPr>
              <w:keepNext/>
              <w:rPr>
                <w:rFonts w:eastAsia="Calibri" w:cs="Arial"/>
                <w:color w:val="000000"/>
                <w:sz w:val="18"/>
                <w:szCs w:val="18"/>
                <w:lang w:eastAsia="en-GB"/>
              </w:rPr>
            </w:pPr>
            <w:r>
              <w:rPr>
                <w:rFonts w:eastAsia="Calibri" w:cs="Arial"/>
                <w:color w:val="000000"/>
                <w:sz w:val="18"/>
                <w:szCs w:val="18"/>
                <w:lang w:eastAsia="en-GB"/>
              </w:rPr>
              <w:t>4.4</w:t>
            </w:r>
            <w:r w:rsidR="008A006F">
              <w:rPr>
                <w:rFonts w:eastAsia="Calibri" w:cs="Arial"/>
                <w:color w:val="000000"/>
                <w:sz w:val="18"/>
                <w:szCs w:val="18"/>
                <w:lang w:eastAsia="en-GB"/>
              </w:rPr>
              <w:t>;</w:t>
            </w:r>
            <w:r w:rsidR="00F93C25">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Ref</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 xml:space="preserve"> no.</w:t>
            </w:r>
            <w:r w:rsidR="00B779FF">
              <w:rPr>
                <w:rFonts w:eastAsia="Calibri" w:cs="Arial"/>
                <w:color w:val="000000"/>
                <w:sz w:val="18"/>
                <w:szCs w:val="18"/>
                <w:lang w:eastAsia="en-GB"/>
              </w:rPr>
              <w:t xml:space="preserve"> </w:t>
            </w:r>
            <w:r w:rsidR="00B779FF" w:rsidRPr="00CB767D">
              <w:rPr>
                <w:rFonts w:eastAsia="Calibri" w:cs="Arial"/>
                <w:color w:val="000000"/>
                <w:sz w:val="18"/>
                <w:szCs w:val="18"/>
                <w:lang w:eastAsia="en-GB"/>
              </w:rPr>
              <w:t>2.2.2-01</w:t>
            </w:r>
            <w:r w:rsidR="00B779FF">
              <w:rPr>
                <w:rFonts w:eastAsia="Calibri" w:cs="Arial"/>
                <w:color w:val="000000"/>
                <w:sz w:val="18"/>
                <w:szCs w:val="18"/>
                <w:lang w:eastAsia="en-GB"/>
              </w:rPr>
              <w:t>)</w:t>
            </w:r>
          </w:p>
        </w:tc>
      </w:tr>
      <w:tr w:rsidR="00D4464C" w14:paraId="28CEC29A" w14:textId="77777777" w:rsidTr="00317ACA">
        <w:trPr>
          <w:trHeight w:val="505"/>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A601B6"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Water solubility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99C58C4"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556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063323"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g/L</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E4C10B" w14:textId="77777777" w:rsidR="00CF59EF" w:rsidRDefault="00C32023" w:rsidP="008A006F">
            <w:pPr>
              <w:keepNext/>
              <w:rPr>
                <w:rFonts w:eastAsia="Calibri" w:cs="Arial"/>
                <w:color w:val="000000"/>
                <w:sz w:val="18"/>
                <w:szCs w:val="18"/>
                <w:lang w:eastAsia="en-GB"/>
              </w:rPr>
            </w:pPr>
            <w:r>
              <w:rPr>
                <w:rFonts w:eastAsia="Calibri" w:cs="Arial"/>
                <w:color w:val="000000"/>
                <w:sz w:val="18"/>
                <w:szCs w:val="18"/>
                <w:lang w:eastAsia="en-GB"/>
              </w:rPr>
              <w:t>8.5.2</w:t>
            </w:r>
            <w:r w:rsidR="00A765E1">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(Ref. no. 2.2.6.1-05)</w:t>
            </w:r>
          </w:p>
        </w:tc>
      </w:tr>
      <w:tr w:rsidR="00D4464C" w14:paraId="683A465B" w14:textId="77777777" w:rsidTr="00317ACA">
        <w:trPr>
          <w:trHeight w:val="640"/>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0C4E50" w14:textId="77777777" w:rsidR="00CF59EF" w:rsidRDefault="000B5D37">
            <w:pPr>
              <w:keepNext/>
              <w:rPr>
                <w:rFonts w:eastAsia="Calibri" w:cs="Arial"/>
                <w:color w:val="000000"/>
                <w:sz w:val="18"/>
                <w:szCs w:val="18"/>
                <w:lang w:val="fr-BE" w:eastAsia="en-GB"/>
              </w:rPr>
            </w:pPr>
            <w:r>
              <w:rPr>
                <w:rFonts w:eastAsia="Calibri" w:cs="Arial"/>
                <w:color w:val="000000"/>
                <w:sz w:val="18"/>
                <w:szCs w:val="18"/>
                <w:lang w:val="fr-BE" w:eastAsia="en-GB"/>
              </w:rPr>
              <w:t>Log Octanol/water partition coefficient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2507AA"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-2.27</w:t>
            </w:r>
          </w:p>
          <w:p w14:paraId="45A3CBDD" w14:textId="77777777" w:rsidR="00CF59EF" w:rsidRDefault="00CF59EF">
            <w:pPr>
              <w:keepNext/>
              <w:rPr>
                <w:rFonts w:eastAsia="Calibri" w:cs="Arial"/>
                <w:color w:val="000000"/>
                <w:sz w:val="18"/>
                <w:szCs w:val="18"/>
                <w:lang w:eastAsia="en-GB"/>
              </w:rPr>
            </w:pP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D0C596" w14:textId="77777777" w:rsidR="00CF59EF" w:rsidRDefault="000B5D37">
            <w:pPr>
              <w:keepNext/>
              <w:rPr>
                <w:rFonts w:eastAsia="Calibri" w:cs="Arial"/>
                <w:color w:val="000000"/>
                <w:sz w:val="18"/>
                <w:szCs w:val="18"/>
                <w:lang w:val="fr-BE" w:eastAsia="en-GB"/>
              </w:rPr>
            </w:pPr>
            <w:r>
              <w:rPr>
                <w:rFonts w:eastAsia="Calibri" w:cs="Arial"/>
                <w:color w:val="000000"/>
                <w:sz w:val="18"/>
                <w:szCs w:val="18"/>
                <w:lang w:val="fr-BE" w:eastAsia="en-GB"/>
              </w:rPr>
              <w:t>Log 10</w:t>
            </w:r>
          </w:p>
          <w:p w14:paraId="5F38DF56" w14:textId="77777777" w:rsidR="00CF59EF" w:rsidRDefault="00CF59EF">
            <w:pPr>
              <w:keepNext/>
              <w:rPr>
                <w:rFonts w:eastAsia="Calibri" w:cs="Arial"/>
                <w:color w:val="000000"/>
                <w:sz w:val="18"/>
                <w:szCs w:val="18"/>
                <w:lang w:eastAsia="en-GB"/>
              </w:rPr>
            </w:pP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DCC9E6" w14:textId="77777777" w:rsidR="00CF59EF" w:rsidRDefault="00C32023" w:rsidP="008A006F">
            <w:pPr>
              <w:keepNext/>
              <w:rPr>
                <w:rFonts w:eastAsia="Calibri" w:cs="Arial"/>
                <w:color w:val="000000"/>
                <w:sz w:val="18"/>
                <w:szCs w:val="18"/>
                <w:lang w:eastAsia="en-GB"/>
              </w:rPr>
            </w:pPr>
            <w:r>
              <w:rPr>
                <w:rFonts w:eastAsia="Calibri" w:cs="Arial"/>
                <w:color w:val="000000"/>
                <w:sz w:val="18"/>
                <w:szCs w:val="18"/>
                <w:lang w:eastAsia="en-GB"/>
              </w:rPr>
              <w:t>8.5.2</w:t>
            </w:r>
            <w:r w:rsidR="00A765E1">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(Ref. no. 2.2.6.1-05)</w:t>
            </w:r>
          </w:p>
        </w:tc>
      </w:tr>
      <w:tr w:rsidR="00D4464C" w14:paraId="0AFFEE46" w14:textId="77777777" w:rsidTr="00317ACA">
        <w:trPr>
          <w:trHeight w:val="811"/>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AA0E0B"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Organic carbon/water partition coefficient (</w:t>
            </w:r>
            <w:proofErr w:type="spellStart"/>
            <w:r>
              <w:rPr>
                <w:rFonts w:eastAsia="Calibri" w:cs="Arial"/>
                <w:color w:val="000000"/>
                <w:sz w:val="18"/>
                <w:szCs w:val="18"/>
                <w:lang w:eastAsia="en-GB"/>
              </w:rPr>
              <w:t>Koc</w:t>
            </w:r>
            <w:proofErr w:type="spellEnd"/>
            <w:r>
              <w:rPr>
                <w:rFonts w:eastAsia="Calibri" w:cs="Arial"/>
                <w:color w:val="000000"/>
                <w:sz w:val="18"/>
                <w:szCs w:val="18"/>
                <w:lang w:eastAsia="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E96E92"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0.01</w:t>
            </w:r>
            <w:r w:rsidR="005552F9">
              <w:rPr>
                <w:rFonts w:eastAsia="Calibri" w:cs="Arial"/>
                <w:color w:val="000000"/>
                <w:sz w:val="18"/>
                <w:szCs w:val="18"/>
                <w:lang w:eastAsia="en-GB"/>
              </w:rPr>
              <w:t>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43C82F"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L/kg</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637158" w14:textId="77777777" w:rsidR="00CF59EF" w:rsidRDefault="00A765E1" w:rsidP="00A765E1">
            <w:pPr>
              <w:keepNext/>
              <w:rPr>
                <w:rFonts w:eastAsia="Calibri" w:cs="Arial"/>
                <w:color w:val="000000"/>
                <w:sz w:val="18"/>
                <w:szCs w:val="18"/>
                <w:lang w:eastAsia="en-GB"/>
              </w:rPr>
            </w:pPr>
            <w:r>
              <w:rPr>
                <w:rFonts w:eastAsia="Calibri" w:cs="Arial"/>
                <w:color w:val="000000"/>
                <w:sz w:val="18"/>
                <w:szCs w:val="18"/>
                <w:lang w:eastAsia="en-GB"/>
              </w:rPr>
              <w:t>C</w:t>
            </w:r>
            <w:r w:rsidR="000B5D37">
              <w:rPr>
                <w:rFonts w:eastAsia="Calibri" w:cs="Arial"/>
                <w:color w:val="000000"/>
                <w:sz w:val="18"/>
                <w:szCs w:val="18"/>
                <w:lang w:eastAsia="en-GB"/>
              </w:rPr>
              <w:t xml:space="preserve">alculated in </w:t>
            </w:r>
            <w:proofErr w:type="spellStart"/>
            <w:r w:rsidR="000B5D37">
              <w:rPr>
                <w:rFonts w:eastAsia="Calibri" w:cs="Arial"/>
                <w:color w:val="000000"/>
                <w:sz w:val="18"/>
                <w:szCs w:val="18"/>
                <w:lang w:eastAsia="en-GB"/>
              </w:rPr>
              <w:t>Simpletreat</w:t>
            </w:r>
            <w:proofErr w:type="spellEnd"/>
            <w:r w:rsidR="000B5D37">
              <w:rPr>
                <w:rFonts w:eastAsia="Calibri" w:cs="Arial"/>
                <w:color w:val="000000"/>
                <w:sz w:val="18"/>
                <w:szCs w:val="18"/>
                <w:lang w:eastAsia="en-GB"/>
              </w:rPr>
              <w:t xml:space="preserve"> (‘neutral sub</w:t>
            </w:r>
            <w:r>
              <w:rPr>
                <w:rFonts w:eastAsia="Calibri" w:cs="Arial"/>
                <w:color w:val="000000"/>
                <w:sz w:val="18"/>
                <w:szCs w:val="18"/>
                <w:lang w:eastAsia="en-GB"/>
              </w:rPr>
              <w:t>s</w:t>
            </w:r>
            <w:r w:rsidR="000B5D37">
              <w:rPr>
                <w:rFonts w:eastAsia="Calibri" w:cs="Arial"/>
                <w:color w:val="000000"/>
                <w:sz w:val="18"/>
                <w:szCs w:val="18"/>
                <w:lang w:eastAsia="en-GB"/>
              </w:rPr>
              <w:t>tance’)</w:t>
            </w:r>
          </w:p>
        </w:tc>
      </w:tr>
      <w:tr w:rsidR="00D4464C" w14:paraId="2CC7B242" w14:textId="77777777"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64BAD7"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Biodegradability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60818E" w14:textId="77777777" w:rsidR="00CF59EF" w:rsidRDefault="000B5D37">
            <w:pPr>
              <w:keepNext/>
              <w:rPr>
                <w:rFonts w:eastAsia="Calibri" w:cs="Arial"/>
                <w:color w:val="000000"/>
                <w:sz w:val="18"/>
                <w:szCs w:val="18"/>
                <w:lang w:eastAsia="en-GB"/>
              </w:rPr>
            </w:pPr>
            <w:r>
              <w:rPr>
                <w:rFonts w:eastAsia="Calibri" w:cs="Arial"/>
                <w:color w:val="000000"/>
                <w:sz w:val="18"/>
                <w:szCs w:val="18"/>
                <w:lang w:eastAsia="en-GB"/>
              </w:rPr>
              <w:t xml:space="preserve">Ready biodegradable </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56E7F3" w14:textId="77777777" w:rsidR="00CF59EF" w:rsidRDefault="00CF59EF">
            <w:pPr>
              <w:keepNext/>
              <w:rPr>
                <w:rFonts w:eastAsia="Calibri" w:cs="Arial"/>
                <w:color w:val="000000"/>
                <w:sz w:val="18"/>
                <w:szCs w:val="18"/>
                <w:lang w:eastAsia="en-GB"/>
              </w:rPr>
            </w:pP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0D1411" w14:textId="77777777" w:rsidR="00CF59EF" w:rsidRDefault="00D85939" w:rsidP="00E9002E">
            <w:pPr>
              <w:keepNext/>
              <w:rPr>
                <w:rFonts w:eastAsia="Calibri" w:cs="Arial"/>
                <w:color w:val="000000"/>
                <w:sz w:val="18"/>
                <w:szCs w:val="18"/>
                <w:lang w:eastAsia="en-GB"/>
              </w:rPr>
            </w:pPr>
            <w:r>
              <w:rPr>
                <w:rFonts w:eastAsia="Calibri" w:cs="Arial"/>
                <w:color w:val="000000"/>
                <w:sz w:val="18"/>
                <w:szCs w:val="18"/>
                <w:lang w:eastAsia="en-GB"/>
              </w:rPr>
              <w:t>10.1.1.2</w:t>
            </w:r>
            <w:r w:rsidR="000B5D37">
              <w:rPr>
                <w:rFonts w:eastAsia="Calibri" w:cs="Arial"/>
                <w:color w:val="000000"/>
                <w:sz w:val="18"/>
                <w:szCs w:val="18"/>
                <w:lang w:eastAsia="en-GB"/>
              </w:rPr>
              <w:t xml:space="preserve">; </w:t>
            </w:r>
            <w:r w:rsidR="00E9002E">
              <w:rPr>
                <w:rFonts w:eastAsia="Calibri" w:cs="Arial"/>
                <w:color w:val="000000"/>
                <w:sz w:val="18"/>
                <w:szCs w:val="18"/>
                <w:lang w:eastAsia="en-GB"/>
              </w:rPr>
              <w:t>OECD 301</w:t>
            </w:r>
            <w:r w:rsidR="000516D9">
              <w:rPr>
                <w:rFonts w:eastAsia="Calibri" w:cs="Arial"/>
                <w:color w:val="000000"/>
                <w:sz w:val="18"/>
                <w:szCs w:val="18"/>
                <w:lang w:eastAsia="en-GB"/>
              </w:rPr>
              <w:t xml:space="preserve"> (1992)</w:t>
            </w:r>
          </w:p>
        </w:tc>
      </w:tr>
      <w:tr w:rsidR="005552F9" w14:paraId="21B80A7E" w14:textId="77777777"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0E5EE7" w14:textId="77777777"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Coefficient for sorption on organic matter (</w:t>
            </w:r>
            <w:proofErr w:type="spellStart"/>
            <w:r>
              <w:rPr>
                <w:rFonts w:eastAsia="Calibri" w:cs="Arial"/>
                <w:color w:val="000000"/>
                <w:sz w:val="18"/>
                <w:szCs w:val="18"/>
                <w:lang w:eastAsia="en-GB"/>
              </w:rPr>
              <w:t>Kom</w:t>
            </w:r>
            <w:proofErr w:type="spellEnd"/>
            <w:r>
              <w:rPr>
                <w:rFonts w:eastAsia="Calibri" w:cs="Arial"/>
                <w:color w:val="000000"/>
                <w:sz w:val="18"/>
                <w:szCs w:val="18"/>
                <w:lang w:eastAsia="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5B7DFD" w14:textId="77777777" w:rsidR="005552F9" w:rsidRDefault="005552F9">
            <w:pPr>
              <w:keepNext/>
              <w:rPr>
                <w:rFonts w:eastAsia="Calibri" w:cs="Arial"/>
                <w:color w:val="000000"/>
                <w:sz w:val="18"/>
                <w:szCs w:val="18"/>
                <w:lang w:eastAsia="en-GB"/>
              </w:rPr>
            </w:pPr>
            <w:r>
              <w:rPr>
                <w:rFonts w:eastAsia="Calibri" w:cs="Arial"/>
                <w:color w:val="000000"/>
                <w:sz w:val="18"/>
                <w:szCs w:val="18"/>
                <w:lang w:eastAsia="en-GB"/>
              </w:rPr>
              <w:t>0.0106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FD23FB" w14:textId="77777777" w:rsidR="005552F9" w:rsidRDefault="005552F9">
            <w:pPr>
              <w:keepNext/>
              <w:rPr>
                <w:rFonts w:eastAsia="Calibri" w:cs="Arial"/>
                <w:color w:val="000000"/>
                <w:sz w:val="18"/>
                <w:szCs w:val="18"/>
                <w:lang w:eastAsia="en-GB"/>
              </w:rPr>
            </w:pPr>
            <w:r>
              <w:rPr>
                <w:rFonts w:eastAsia="Calibri" w:cs="Arial"/>
                <w:color w:val="000000"/>
                <w:sz w:val="18"/>
                <w:szCs w:val="18"/>
                <w:lang w:eastAsia="en-GB"/>
              </w:rPr>
              <w:t>L/kg</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A428F" w14:textId="77777777"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 xml:space="preserve">Calculated using the </w:t>
            </w:r>
            <w:proofErr w:type="spellStart"/>
            <w:r>
              <w:rPr>
                <w:rFonts w:eastAsia="Calibri" w:cs="Arial"/>
                <w:color w:val="000000"/>
                <w:sz w:val="18"/>
                <w:szCs w:val="18"/>
                <w:lang w:eastAsia="en-GB"/>
              </w:rPr>
              <w:t>Koc</w:t>
            </w:r>
            <w:proofErr w:type="spellEnd"/>
          </w:p>
        </w:tc>
      </w:tr>
      <w:tr w:rsidR="005552F9" w14:paraId="29023ABC" w14:textId="77777777"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775380" w14:textId="77777777"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Half-life in soil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CB218D" w14:textId="77777777" w:rsidR="005552F9" w:rsidRDefault="005552F9">
            <w:pPr>
              <w:keepNext/>
              <w:rPr>
                <w:rFonts w:eastAsia="Calibri" w:cs="Arial"/>
                <w:color w:val="000000"/>
                <w:sz w:val="18"/>
                <w:szCs w:val="18"/>
                <w:lang w:eastAsia="en-GB"/>
              </w:rPr>
            </w:pPr>
            <w:r>
              <w:rPr>
                <w:rFonts w:eastAsia="Calibri" w:cs="Arial"/>
                <w:color w:val="000000"/>
                <w:sz w:val="18"/>
                <w:szCs w:val="18"/>
                <w:lang w:eastAsia="en-GB"/>
              </w:rPr>
              <w:t>30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D30613" w14:textId="77777777" w:rsidR="005552F9" w:rsidRDefault="005552F9">
            <w:pPr>
              <w:keepNext/>
              <w:rPr>
                <w:rFonts w:eastAsia="Calibri" w:cs="Arial"/>
                <w:color w:val="000000"/>
                <w:sz w:val="18"/>
                <w:szCs w:val="18"/>
                <w:lang w:eastAsia="en-GB"/>
              </w:rPr>
            </w:pPr>
            <w:r>
              <w:rPr>
                <w:rFonts w:eastAsia="Calibri" w:cs="Arial"/>
                <w:color w:val="000000"/>
                <w:sz w:val="18"/>
                <w:szCs w:val="18"/>
                <w:lang w:eastAsia="en-GB"/>
              </w:rPr>
              <w:t>d</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9CD773" w14:textId="77777777"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Default value based on biodegradability</w:t>
            </w:r>
          </w:p>
        </w:tc>
      </w:tr>
    </w:tbl>
    <w:p w14:paraId="5593FDC3" w14:textId="77777777" w:rsidR="00CF59EF" w:rsidRDefault="000B5D37">
      <w:pPr>
        <w:rPr>
          <w:rFonts w:eastAsia="Calibri"/>
          <w:sz w:val="18"/>
          <w:szCs w:val="18"/>
          <w:lang w:eastAsia="en-US"/>
        </w:rPr>
      </w:pPr>
      <w:r>
        <w:rPr>
          <w:rFonts w:eastAsia="Calibri"/>
          <w:sz w:val="18"/>
          <w:szCs w:val="18"/>
          <w:lang w:eastAsia="en-US"/>
        </w:rPr>
        <w:t xml:space="preserve">Note: for further detail on input parameters, see </w:t>
      </w:r>
      <w:r>
        <w:rPr>
          <w:sz w:val="18"/>
          <w:szCs w:val="18"/>
          <w:lang w:val="en-US"/>
        </w:rPr>
        <w:t>IUCLID active substance dossier</w:t>
      </w:r>
    </w:p>
    <w:p w14:paraId="297AF5E9" w14:textId="77777777" w:rsidR="00CF59EF" w:rsidRDefault="00CF59EF">
      <w:pPr>
        <w:rPr>
          <w:rFonts w:eastAsia="Calibri"/>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78"/>
        <w:gridCol w:w="2372"/>
        <w:gridCol w:w="4353"/>
      </w:tblGrid>
      <w:tr w:rsidR="00CF59EF" w14:paraId="34D7C4E9" w14:textId="77777777">
        <w:trPr>
          <w:trHeight w:val="460"/>
        </w:trPr>
        <w:tc>
          <w:tcPr>
            <w:tcW w:w="9213" w:type="dxa"/>
            <w:gridSpan w:val="3"/>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6D38BDD7" w14:textId="77777777" w:rsidR="00CF59EF" w:rsidRDefault="000B5D37" w:rsidP="002838C1">
            <w:pPr>
              <w:keepNext/>
              <w:rPr>
                <w:rFonts w:eastAsia="Calibri" w:cs="Arial"/>
                <w:b/>
                <w:color w:val="000000"/>
                <w:sz w:val="18"/>
                <w:szCs w:val="18"/>
                <w:lang w:eastAsia="en-GB"/>
              </w:rPr>
            </w:pPr>
            <w:r>
              <w:rPr>
                <w:rFonts w:eastAsia="Calibri"/>
                <w:b/>
                <w:sz w:val="18"/>
                <w:szCs w:val="18"/>
                <w:lang w:eastAsia="en-US"/>
              </w:rPr>
              <w:t>Calculated fate and distribution in the STP (</w:t>
            </w:r>
            <w:proofErr w:type="spellStart"/>
            <w:r>
              <w:rPr>
                <w:rFonts w:eastAsia="Calibri"/>
                <w:b/>
                <w:sz w:val="18"/>
                <w:szCs w:val="18"/>
                <w:lang w:eastAsia="en-US"/>
              </w:rPr>
              <w:t>Simpletreat</w:t>
            </w:r>
            <w:proofErr w:type="spellEnd"/>
            <w:r>
              <w:rPr>
                <w:rFonts w:eastAsia="Calibri"/>
                <w:b/>
                <w:sz w:val="18"/>
                <w:szCs w:val="18"/>
                <w:lang w:eastAsia="en-US"/>
              </w:rPr>
              <w:t xml:space="preserve"> v4.0)</w:t>
            </w:r>
          </w:p>
        </w:tc>
      </w:tr>
      <w:tr w:rsidR="00CF59EF" w14:paraId="097B3059" w14:textId="77777777">
        <w:trPr>
          <w:trHeight w:val="271"/>
        </w:trPr>
        <w:tc>
          <w:tcPr>
            <w:tcW w:w="24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A9F662" w14:textId="77777777" w:rsidR="00CF59EF" w:rsidRDefault="000B5D37">
            <w:pPr>
              <w:jc w:val="center"/>
              <w:rPr>
                <w:rFonts w:eastAsia="Calibri" w:cs="Arial"/>
                <w:b/>
                <w:color w:val="000000"/>
                <w:sz w:val="18"/>
                <w:szCs w:val="18"/>
                <w:lang w:eastAsia="en-GB"/>
              </w:rPr>
            </w:pPr>
            <w:r>
              <w:rPr>
                <w:rFonts w:eastAsia="Calibri" w:cs="Arial"/>
                <w:b/>
                <w:bCs/>
                <w:color w:val="000000"/>
                <w:sz w:val="18"/>
                <w:szCs w:val="18"/>
                <w:lang w:eastAsia="en-GB"/>
              </w:rPr>
              <w:t>Compartment</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5E0258" w14:textId="77777777" w:rsidR="00CF59EF" w:rsidRDefault="000B5D37">
            <w:pPr>
              <w:jc w:val="center"/>
              <w:rPr>
                <w:rFonts w:eastAsia="Calibri" w:cs="Arial"/>
                <w:b/>
                <w:bCs/>
                <w:color w:val="000000"/>
                <w:sz w:val="18"/>
                <w:szCs w:val="18"/>
                <w:lang w:eastAsia="en-GB"/>
              </w:rPr>
            </w:pPr>
            <w:r>
              <w:rPr>
                <w:rFonts w:eastAsia="Calibri" w:cs="Arial"/>
                <w:b/>
                <w:bCs/>
                <w:color w:val="000000"/>
                <w:sz w:val="18"/>
                <w:szCs w:val="18"/>
                <w:lang w:eastAsia="en-GB"/>
              </w:rPr>
              <w:t>Percentage [%]</w:t>
            </w:r>
          </w:p>
        </w:tc>
        <w:tc>
          <w:tcPr>
            <w:tcW w:w="4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8C9D4C" w14:textId="77777777" w:rsidR="00CF59EF" w:rsidRDefault="000B5D37">
            <w:pPr>
              <w:jc w:val="center"/>
              <w:rPr>
                <w:rFonts w:eastAsia="Calibri" w:cs="Arial"/>
                <w:b/>
                <w:color w:val="000000"/>
                <w:sz w:val="18"/>
                <w:szCs w:val="18"/>
                <w:lang w:eastAsia="en-GB"/>
              </w:rPr>
            </w:pPr>
            <w:r>
              <w:rPr>
                <w:rFonts w:eastAsia="Calibri" w:cs="Arial"/>
                <w:b/>
                <w:bCs/>
                <w:color w:val="000000"/>
                <w:sz w:val="18"/>
                <w:szCs w:val="18"/>
                <w:lang w:eastAsia="en-GB"/>
              </w:rPr>
              <w:t>Remarks</w:t>
            </w:r>
          </w:p>
        </w:tc>
      </w:tr>
      <w:tr w:rsidR="00CF59EF" w14:paraId="23D8E9BC" w14:textId="77777777">
        <w:trPr>
          <w:trHeight w:val="262"/>
        </w:trPr>
        <w:tc>
          <w:tcPr>
            <w:tcW w:w="248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FA8199" w14:textId="77777777" w:rsidR="00CF59EF" w:rsidRDefault="00CF59EF">
            <w:pPr>
              <w:rPr>
                <w:rFonts w:eastAsia="Calibri" w:cs="Arial"/>
                <w:bCs/>
                <w:color w:val="000000"/>
                <w:sz w:val="18"/>
                <w:szCs w:val="18"/>
                <w:lang w:eastAsia="en-GB"/>
              </w:rPr>
            </w:pP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4ABE6D" w14:textId="77777777" w:rsidR="00CF59EF" w:rsidRDefault="000B5D37">
            <w:pPr>
              <w:jc w:val="center"/>
              <w:rPr>
                <w:rFonts w:eastAsia="Calibri" w:cs="Arial"/>
                <w:bCs/>
                <w:color w:val="000000"/>
                <w:sz w:val="18"/>
                <w:szCs w:val="18"/>
                <w:lang w:eastAsia="en-GB"/>
              </w:rPr>
            </w:pPr>
            <w:r>
              <w:rPr>
                <w:rFonts w:eastAsia="Calibri" w:cs="Arial"/>
                <w:bCs/>
                <w:color w:val="000000"/>
                <w:sz w:val="18"/>
                <w:szCs w:val="18"/>
                <w:lang w:eastAsia="en-GB"/>
              </w:rPr>
              <w:t>All scenarios</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780807" w14:textId="77777777" w:rsidR="00CF59EF" w:rsidRDefault="00CF59EF">
            <w:pPr>
              <w:rPr>
                <w:rFonts w:eastAsia="Calibri" w:cs="Arial"/>
                <w:bCs/>
                <w:color w:val="000000"/>
                <w:sz w:val="18"/>
                <w:szCs w:val="18"/>
                <w:lang w:eastAsia="en-GB"/>
              </w:rPr>
            </w:pPr>
          </w:p>
        </w:tc>
      </w:tr>
      <w:tr w:rsidR="00CF59EF" w14:paraId="3FF14C64" w14:textId="77777777">
        <w:trPr>
          <w:trHeight w:val="352"/>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8B8812" w14:textId="77777777" w:rsidR="00CF59EF" w:rsidRDefault="000B5D37">
            <w:pPr>
              <w:rPr>
                <w:rFonts w:eastAsia="Calibri" w:cs="Arial"/>
                <w:color w:val="000000"/>
                <w:sz w:val="18"/>
                <w:szCs w:val="18"/>
                <w:lang w:eastAsia="en-GB"/>
              </w:rPr>
            </w:pPr>
            <w:r>
              <w:rPr>
                <w:rFonts w:eastAsia="Calibri" w:cs="Arial"/>
                <w:color w:val="000000"/>
                <w:sz w:val="18"/>
                <w:szCs w:val="18"/>
                <w:lang w:eastAsia="en-GB"/>
              </w:rPr>
              <w:t>Air</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EFEBEA" w14:textId="77777777" w:rsidR="00CF59EF" w:rsidRDefault="000B5D37">
            <w:pPr>
              <w:jc w:val="center"/>
              <w:rPr>
                <w:rFonts w:eastAsia="Calibri" w:cs="Arial"/>
                <w:color w:val="000000"/>
                <w:sz w:val="18"/>
                <w:szCs w:val="18"/>
                <w:lang w:eastAsia="en-GB"/>
              </w:rPr>
            </w:pPr>
            <w:r>
              <w:rPr>
                <w:rFonts w:eastAsia="Calibri" w:cs="Arial"/>
                <w:color w:val="000000"/>
                <w:sz w:val="18"/>
                <w:szCs w:val="18"/>
                <w:lang w:eastAsia="en-GB"/>
              </w:rPr>
              <w:t>0.00</w:t>
            </w:r>
          </w:p>
        </w:tc>
        <w:tc>
          <w:tcPr>
            <w:tcW w:w="4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3A2D86" w14:textId="77777777" w:rsidR="00CF59EF" w:rsidRDefault="000B5D37" w:rsidP="002838C1">
            <w:pPr>
              <w:jc w:val="center"/>
              <w:rPr>
                <w:rFonts w:eastAsia="Calibri" w:cs="Arial"/>
                <w:color w:val="000000"/>
                <w:sz w:val="18"/>
                <w:szCs w:val="18"/>
                <w:lang w:eastAsia="en-GB"/>
              </w:rPr>
            </w:pPr>
            <w:proofErr w:type="spellStart"/>
            <w:r>
              <w:rPr>
                <w:rFonts w:eastAsia="Calibri" w:cs="Arial"/>
                <w:color w:val="000000"/>
                <w:sz w:val="18"/>
                <w:szCs w:val="18"/>
                <w:lang w:eastAsia="en-GB"/>
              </w:rPr>
              <w:t>SimpleTreat</w:t>
            </w:r>
            <w:proofErr w:type="spellEnd"/>
            <w:r>
              <w:rPr>
                <w:rFonts w:eastAsia="Calibri" w:cs="Arial"/>
                <w:color w:val="000000"/>
                <w:sz w:val="18"/>
                <w:szCs w:val="18"/>
                <w:lang w:eastAsia="en-GB"/>
              </w:rPr>
              <w:t xml:space="preserve"> v4.0</w:t>
            </w:r>
            <w:r w:rsidR="007B054E">
              <w:rPr>
                <w:rFonts w:eastAsia="Calibri" w:cs="Arial"/>
                <w:color w:val="000000"/>
                <w:sz w:val="18"/>
                <w:szCs w:val="18"/>
                <w:lang w:eastAsia="en-GB"/>
              </w:rPr>
              <w:t xml:space="preserve"> with note 1</w:t>
            </w:r>
          </w:p>
        </w:tc>
      </w:tr>
      <w:tr w:rsidR="00CF59EF" w14:paraId="420CE444" w14:textId="77777777">
        <w:trPr>
          <w:trHeight w:val="361"/>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0C6295" w14:textId="77777777" w:rsidR="00CF59EF" w:rsidRDefault="000B5D37">
            <w:pPr>
              <w:rPr>
                <w:rFonts w:eastAsia="Calibri" w:cs="Arial"/>
                <w:color w:val="000000"/>
                <w:sz w:val="18"/>
                <w:szCs w:val="18"/>
                <w:lang w:eastAsia="en-GB"/>
              </w:rPr>
            </w:pPr>
            <w:r>
              <w:rPr>
                <w:rFonts w:eastAsia="Calibri" w:cs="Arial"/>
                <w:color w:val="000000"/>
                <w:sz w:val="18"/>
                <w:szCs w:val="18"/>
                <w:lang w:eastAsia="en-GB"/>
              </w:rPr>
              <w:t>Water</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2EC832" w14:textId="77777777" w:rsidR="00CF59EF" w:rsidRDefault="00612BF5">
            <w:pPr>
              <w:jc w:val="center"/>
              <w:rPr>
                <w:rFonts w:eastAsia="Calibri" w:cs="Arial"/>
                <w:color w:val="000000"/>
                <w:sz w:val="18"/>
                <w:szCs w:val="18"/>
                <w:lang w:eastAsia="en-GB"/>
              </w:rPr>
            </w:pPr>
            <w:r>
              <w:rPr>
                <w:rFonts w:eastAsia="Calibri" w:cs="Arial"/>
                <w:color w:val="000000"/>
                <w:sz w:val="18"/>
                <w:szCs w:val="18"/>
                <w:lang w:eastAsia="en-GB"/>
              </w:rPr>
              <w:t>8.02</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C2E661" w14:textId="77777777" w:rsidR="00CF59EF" w:rsidRDefault="00CF59EF">
            <w:pPr>
              <w:rPr>
                <w:rFonts w:eastAsia="Calibri" w:cs="Arial"/>
                <w:color w:val="000000"/>
                <w:sz w:val="18"/>
                <w:szCs w:val="18"/>
                <w:lang w:eastAsia="en-GB"/>
              </w:rPr>
            </w:pPr>
          </w:p>
        </w:tc>
      </w:tr>
      <w:tr w:rsidR="00CF59EF" w14:paraId="60F44FED" w14:textId="77777777">
        <w:trPr>
          <w:trHeight w:val="343"/>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9DD40E" w14:textId="77777777" w:rsidR="00CF59EF" w:rsidRDefault="000B5D37">
            <w:pPr>
              <w:rPr>
                <w:rFonts w:eastAsia="Calibri" w:cs="Arial"/>
                <w:color w:val="000000"/>
                <w:sz w:val="18"/>
                <w:szCs w:val="18"/>
                <w:lang w:eastAsia="en-GB"/>
              </w:rPr>
            </w:pPr>
            <w:r>
              <w:rPr>
                <w:rFonts w:eastAsia="Calibri" w:cs="Arial"/>
                <w:color w:val="000000"/>
                <w:sz w:val="18"/>
                <w:szCs w:val="18"/>
                <w:lang w:eastAsia="en-GB"/>
              </w:rPr>
              <w:t>Sludge</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DCDE46" w14:textId="77777777" w:rsidR="00CF59EF" w:rsidRPr="00357C91" w:rsidRDefault="00357C91">
            <w:pPr>
              <w:jc w:val="center"/>
              <w:rPr>
                <w:rFonts w:eastAsia="Calibri" w:cs="Arial"/>
                <w:color w:val="000000"/>
                <w:sz w:val="18"/>
                <w:szCs w:val="18"/>
                <w:vertAlign w:val="superscript"/>
                <w:lang w:eastAsia="en-GB"/>
              </w:rPr>
            </w:pPr>
            <w:r>
              <w:rPr>
                <w:rFonts w:eastAsia="Calibri" w:cs="Arial"/>
                <w:color w:val="000000"/>
                <w:sz w:val="18"/>
                <w:szCs w:val="18"/>
                <w:lang w:eastAsia="en-GB"/>
              </w:rPr>
              <w:t>1.70x10</w:t>
            </w:r>
            <w:r>
              <w:rPr>
                <w:rFonts w:eastAsia="Calibri" w:cs="Arial"/>
                <w:color w:val="000000"/>
                <w:sz w:val="18"/>
                <w:szCs w:val="18"/>
                <w:vertAlign w:val="superscript"/>
                <w:lang w:eastAsia="en-GB"/>
              </w:rPr>
              <w:t>-4</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47FE52" w14:textId="77777777" w:rsidR="00CF59EF" w:rsidRDefault="00CF59EF">
            <w:pPr>
              <w:rPr>
                <w:rFonts w:eastAsia="Calibri" w:cs="Arial"/>
                <w:color w:val="000000"/>
                <w:sz w:val="18"/>
                <w:szCs w:val="18"/>
                <w:lang w:eastAsia="en-GB"/>
              </w:rPr>
            </w:pPr>
          </w:p>
        </w:tc>
      </w:tr>
      <w:tr w:rsidR="00CF59EF" w14:paraId="597DC293" w14:textId="77777777">
        <w:trPr>
          <w:trHeight w:val="352"/>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AB2386" w14:textId="77777777" w:rsidR="00CF59EF" w:rsidRDefault="000B5D37">
            <w:pPr>
              <w:rPr>
                <w:rFonts w:eastAsia="Calibri" w:cs="Arial"/>
                <w:color w:val="000000"/>
                <w:sz w:val="18"/>
                <w:szCs w:val="18"/>
                <w:lang w:eastAsia="en-GB"/>
              </w:rPr>
            </w:pPr>
            <w:r>
              <w:rPr>
                <w:rFonts w:eastAsia="Calibri" w:cs="Arial"/>
                <w:color w:val="000000"/>
                <w:sz w:val="18"/>
                <w:szCs w:val="18"/>
                <w:lang w:eastAsia="en-GB"/>
              </w:rPr>
              <w:t>Degraded in STP</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7E78CA" w14:textId="77777777" w:rsidR="00CF59EF" w:rsidRDefault="00357C91">
            <w:pPr>
              <w:jc w:val="center"/>
              <w:rPr>
                <w:rFonts w:eastAsia="Calibri" w:cs="Arial"/>
                <w:color w:val="000000"/>
                <w:sz w:val="18"/>
                <w:szCs w:val="18"/>
                <w:lang w:eastAsia="en-GB"/>
              </w:rPr>
            </w:pPr>
            <w:r>
              <w:rPr>
                <w:rFonts w:eastAsia="Calibri" w:cs="Arial"/>
                <w:color w:val="000000"/>
                <w:sz w:val="18"/>
                <w:szCs w:val="18"/>
                <w:lang w:eastAsia="en-GB"/>
              </w:rPr>
              <w:t>92.0</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EC9E32" w14:textId="77777777" w:rsidR="00CF59EF" w:rsidRDefault="00CF59EF">
            <w:pPr>
              <w:rPr>
                <w:rFonts w:eastAsia="Calibri" w:cs="Arial"/>
                <w:color w:val="000000"/>
                <w:sz w:val="18"/>
                <w:szCs w:val="18"/>
                <w:lang w:eastAsia="en-GB"/>
              </w:rPr>
            </w:pPr>
          </w:p>
        </w:tc>
      </w:tr>
    </w:tbl>
    <w:p w14:paraId="489E5625" w14:textId="77777777" w:rsidR="00CF59EF" w:rsidRDefault="000B5D37">
      <w:pPr>
        <w:keepNext/>
        <w:rPr>
          <w:rFonts w:eastAsia="Calibri"/>
          <w:b/>
          <w:i/>
          <w:sz w:val="18"/>
          <w:szCs w:val="18"/>
          <w:lang w:eastAsia="en-US"/>
        </w:rPr>
      </w:pPr>
      <w:r>
        <w:rPr>
          <w:rFonts w:eastAsia="Calibri"/>
          <w:sz w:val="18"/>
          <w:szCs w:val="18"/>
          <w:lang w:eastAsia="en-US"/>
        </w:rPr>
        <w:lastRenderedPageBreak/>
        <w:t xml:space="preserve">Note 1: </w:t>
      </w:r>
      <w:proofErr w:type="spellStart"/>
      <w:r>
        <w:rPr>
          <w:rFonts w:eastAsia="Calibri"/>
          <w:sz w:val="18"/>
          <w:szCs w:val="18"/>
          <w:lang w:eastAsia="en-US"/>
        </w:rPr>
        <w:t>Simple</w:t>
      </w:r>
      <w:r w:rsidR="007B054E">
        <w:rPr>
          <w:rFonts w:eastAsia="Calibri"/>
          <w:sz w:val="18"/>
          <w:szCs w:val="18"/>
          <w:lang w:eastAsia="en-US"/>
        </w:rPr>
        <w:t>T</w:t>
      </w:r>
      <w:r>
        <w:rPr>
          <w:rFonts w:eastAsia="Calibri"/>
          <w:sz w:val="18"/>
          <w:szCs w:val="18"/>
          <w:lang w:eastAsia="en-US"/>
        </w:rPr>
        <w:t>reat</w:t>
      </w:r>
      <w:proofErr w:type="spellEnd"/>
      <w:r>
        <w:rPr>
          <w:rFonts w:eastAsia="Calibri"/>
          <w:sz w:val="18"/>
          <w:szCs w:val="18"/>
          <w:lang w:eastAsia="en-US"/>
        </w:rPr>
        <w:t xml:space="preserve"> input and settings based on guidance in TAB v1.3 (ENV9)</w:t>
      </w:r>
    </w:p>
    <w:p w14:paraId="7D5BB3FC" w14:textId="77777777" w:rsidR="00CF59EF" w:rsidRDefault="00CF59EF">
      <w:pPr>
        <w:keepNext/>
        <w:rPr>
          <w:rFonts w:eastAsia="Calibri"/>
          <w:b/>
          <w:i/>
          <w:sz w:val="22"/>
          <w:szCs w:val="22"/>
          <w:lang w:eastAsia="en-US"/>
        </w:rPr>
      </w:pPr>
    </w:p>
    <w:p w14:paraId="4214D5FD" w14:textId="77777777" w:rsidR="00CF59EF" w:rsidRDefault="000B5D37">
      <w:pPr>
        <w:keepNext/>
        <w:rPr>
          <w:rFonts w:eastAsia="Calibri"/>
          <w:b/>
          <w:i/>
          <w:sz w:val="22"/>
          <w:szCs w:val="22"/>
          <w:lang w:eastAsia="en-US"/>
        </w:rPr>
      </w:pPr>
      <w:r>
        <w:rPr>
          <w:rFonts w:eastAsia="Calibri"/>
          <w:b/>
          <w:i/>
          <w:sz w:val="22"/>
          <w:szCs w:val="22"/>
          <w:lang w:eastAsia="en-US"/>
        </w:rPr>
        <w:t>Calculated PEC values</w:t>
      </w:r>
    </w:p>
    <w:p w14:paraId="34622619" w14:textId="77777777" w:rsidR="00CF59EF" w:rsidRDefault="00CF59EF">
      <w:pPr>
        <w:pStyle w:val="CommentText"/>
        <w:rPr>
          <w:rFonts w:eastAsia="Calibri"/>
          <w:lang w:val="en-US" w:eastAsia="en-US"/>
        </w:rPr>
      </w:pPr>
    </w:p>
    <w:p w14:paraId="345C6918" w14:textId="77777777" w:rsidR="00CF59EF" w:rsidRDefault="000B5D37">
      <w:pPr>
        <w:pStyle w:val="CommentText"/>
        <w:rPr>
          <w:rFonts w:eastAsia="Calibri"/>
          <w:lang w:val="en-US" w:eastAsia="en-US"/>
        </w:rPr>
      </w:pPr>
      <w:r>
        <w:rPr>
          <w:rFonts w:eastAsia="Calibri"/>
          <w:lang w:val="en-US" w:eastAsia="en-US"/>
        </w:rPr>
        <w:t xml:space="preserve">PEC values for surface water were calculated using equations from the </w:t>
      </w:r>
      <w:r>
        <w:t xml:space="preserve">BPR guidance Vol. IV; Part B+C, v2.0 (ECHA, 2017) </w:t>
      </w:r>
      <w:r w:rsidR="001F1CB8">
        <w:t>and</w:t>
      </w:r>
      <w:r>
        <w:t xml:space="preserve"> </w:t>
      </w:r>
      <w:r w:rsidR="001F1CB8" w:rsidRPr="00DA420B">
        <w:t>according to relevant exposure scenario documents (ESDs, release to the environment)</w:t>
      </w:r>
      <w:r>
        <w:rPr>
          <w:rFonts w:eastAsia="Calibri"/>
          <w:lang w:eastAsia="en-US"/>
        </w:rPr>
        <w:t>. For both professional and non-professional uses, the local emission value from scenario 2 (consumption-based – aggregated exposure) is entered as input for calculation of PECs. The PECs presented in the following sections are those based on aggregated exposure only, as this represents a worst-case approach.</w:t>
      </w:r>
    </w:p>
    <w:p w14:paraId="583899A8" w14:textId="77777777" w:rsidR="00CF59EF" w:rsidRDefault="00CF59EF">
      <w:pPr>
        <w:keepNext/>
        <w:rPr>
          <w:rFonts w:eastAsia="Calibri"/>
          <w:lang w:val="en-US"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12"/>
        <w:gridCol w:w="1638"/>
        <w:gridCol w:w="1843"/>
        <w:gridCol w:w="1437"/>
        <w:gridCol w:w="1573"/>
      </w:tblGrid>
      <w:tr w:rsidR="00CF59EF" w14:paraId="508CB417" w14:textId="77777777" w:rsidTr="009B252C">
        <w:trPr>
          <w:trHeight w:val="249"/>
        </w:trPr>
        <w:tc>
          <w:tcPr>
            <w:tcW w:w="9429" w:type="dxa"/>
            <w:gridSpan w:val="5"/>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E6B9701" w14:textId="77777777" w:rsidR="00CF59EF" w:rsidRDefault="000B5D37">
            <w:pPr>
              <w:keepNext/>
              <w:spacing w:before="60" w:after="60"/>
              <w:rPr>
                <w:rFonts w:eastAsia="Calibri" w:cs="Arial"/>
                <w:color w:val="000000"/>
                <w:sz w:val="18"/>
                <w:szCs w:val="18"/>
                <w:lang w:eastAsia="en-GB"/>
              </w:rPr>
            </w:pPr>
            <w:r>
              <w:rPr>
                <w:rFonts w:eastAsia="Calibri" w:cs="Arial"/>
                <w:b/>
                <w:bCs/>
                <w:sz w:val="18"/>
                <w:szCs w:val="18"/>
                <w:lang w:eastAsia="en-GB"/>
              </w:rPr>
              <w:t>Summary table on calculated PEC values</w:t>
            </w:r>
          </w:p>
        </w:tc>
      </w:tr>
      <w:tr w:rsidR="009B252C" w14:paraId="5562DFB2" w14:textId="77777777" w:rsidTr="009B252C">
        <w:trPr>
          <w:trHeight w:val="249"/>
        </w:trPr>
        <w:tc>
          <w:tcPr>
            <w:tcW w:w="2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E5AF12" w14:textId="77777777" w:rsidR="009B252C" w:rsidRDefault="009B252C">
            <w:pPr>
              <w:keepNext/>
              <w:spacing w:before="60" w:after="60"/>
              <w:rPr>
                <w:rFonts w:eastAsia="Calibri" w:cs="Arial"/>
                <w:sz w:val="18"/>
                <w:szCs w:val="18"/>
                <w:lang w:eastAsia="en-GB"/>
              </w:rPr>
            </w:pPr>
            <w:r>
              <w:rPr>
                <w:rFonts w:eastAsia="Calibri" w:cs="Arial"/>
                <w:sz w:val="18"/>
                <w:szCs w:val="18"/>
                <w:lang w:eastAsia="en-GB"/>
              </w:rPr>
              <w:t>Scenario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7A21C7" w14:textId="77777777" w:rsidR="009B252C" w:rsidRDefault="009B252C">
            <w:pPr>
              <w:keepNext/>
              <w:spacing w:before="60" w:after="60"/>
              <w:jc w:val="center"/>
              <w:rPr>
                <w:rFonts w:eastAsia="Calibri" w:cs="Arial"/>
                <w:bCs/>
                <w:color w:val="000000"/>
                <w:sz w:val="16"/>
                <w:szCs w:val="16"/>
                <w:lang w:eastAsia="en-GB"/>
              </w:rPr>
            </w:pPr>
            <w:r>
              <w:rPr>
                <w:rFonts w:eastAsia="Calibri" w:cs="Arial"/>
                <w:b/>
                <w:bCs/>
                <w:color w:val="000000"/>
                <w:sz w:val="18"/>
                <w:szCs w:val="18"/>
                <w:lang w:eastAsia="en-GB"/>
              </w:rPr>
              <w:t>STP</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6E99C5" w14:textId="77777777"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Freshwater*</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0E0988" w14:textId="77777777"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Soil</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90A6FB" w14:textId="77777777"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Groundwater</w:t>
            </w:r>
          </w:p>
        </w:tc>
      </w:tr>
      <w:tr w:rsidR="009B252C" w14:paraId="57EC9FBA" w14:textId="77777777" w:rsidTr="009B252C">
        <w:trPr>
          <w:trHeight w:val="249"/>
        </w:trPr>
        <w:tc>
          <w:tcPr>
            <w:tcW w:w="2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2C9AE3" w14:textId="77777777" w:rsidR="009B252C" w:rsidRDefault="009B252C">
            <w:pPr>
              <w:keepNext/>
              <w:spacing w:before="60" w:after="60"/>
              <w:rPr>
                <w:rFonts w:eastAsia="Calibri" w:cs="Arial"/>
                <w:b/>
                <w:bCs/>
                <w:sz w:val="18"/>
                <w:szCs w:val="18"/>
                <w:lang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3ECD88" w14:textId="77777777" w:rsidR="009B252C" w:rsidRDefault="009B252C">
            <w:pPr>
              <w:keepNext/>
              <w:spacing w:before="60" w:after="60"/>
              <w:jc w:val="center"/>
              <w:rPr>
                <w:rFonts w:eastAsia="Calibri" w:cs="Arial"/>
                <w:color w:val="000000"/>
                <w:sz w:val="18"/>
                <w:szCs w:val="18"/>
                <w:lang w:eastAsia="en-GB"/>
              </w:rPr>
            </w:pPr>
            <w:r>
              <w:rPr>
                <w:rFonts w:eastAsia="Calibri" w:cs="Arial"/>
                <w:bCs/>
                <w:color w:val="000000"/>
                <w:sz w:val="16"/>
                <w:szCs w:val="16"/>
                <w:lang w:eastAsia="en-GB"/>
              </w:rPr>
              <w:t>[mg/L]</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5FB6CB" w14:textId="77777777"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F4622A" w14:textId="77777777"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 xml:space="preserve">[mg/kg </w:t>
            </w:r>
            <w:proofErr w:type="spellStart"/>
            <w:r>
              <w:rPr>
                <w:rFonts w:eastAsia="Calibri" w:cs="Arial"/>
                <w:bCs/>
                <w:color w:val="000000"/>
                <w:sz w:val="16"/>
                <w:szCs w:val="16"/>
                <w:lang w:eastAsia="en-GB"/>
              </w:rPr>
              <w:t>dw</w:t>
            </w:r>
            <w:proofErr w:type="spellEnd"/>
            <w:r>
              <w:rPr>
                <w:rFonts w:eastAsia="Calibri" w:cs="Arial"/>
                <w:bCs/>
                <w:color w:val="000000"/>
                <w:sz w:val="16"/>
                <w:szCs w:val="16"/>
                <w:lang w:eastAsia="en-GB"/>
              </w:rPr>
              <w:t>]</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66A5A0" w14:textId="77777777"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[µg/L]</w:t>
            </w:r>
          </w:p>
        </w:tc>
      </w:tr>
      <w:tr w:rsidR="009B252C" w14:paraId="29A723E1" w14:textId="77777777" w:rsidTr="009B252C">
        <w:trPr>
          <w:trHeight w:val="75"/>
        </w:trPr>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B880AF" w14:textId="77777777" w:rsidR="009B252C" w:rsidRDefault="009B252C">
            <w:pPr>
              <w:keepNext/>
              <w:spacing w:before="60" w:after="60"/>
              <w:rPr>
                <w:rFonts w:eastAsia="Calibri" w:cs="Arial"/>
                <w:sz w:val="18"/>
                <w:szCs w:val="18"/>
                <w:lang w:eastAsia="en-GB"/>
              </w:rPr>
            </w:pPr>
            <w:r>
              <w:rPr>
                <w:rFonts w:eastAsia="Calibri" w:cs="Arial"/>
                <w:sz w:val="18"/>
                <w:szCs w:val="18"/>
                <w:lang w:eastAsia="en-GB"/>
              </w:rPr>
              <w:t>Consumption-based aggregated exposure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2D7271" w14:textId="77777777" w:rsidR="009B252C" w:rsidRDefault="009B252C" w:rsidP="00F93C25">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0.37</w:t>
            </w:r>
            <w:r w:rsidR="00357C91">
              <w:rPr>
                <w:rFonts w:eastAsia="Calibri" w:cs="Arial"/>
                <w:color w:val="000000"/>
                <w:sz w:val="18"/>
                <w:szCs w:val="18"/>
                <w:lang w:eastAsia="en-GB"/>
              </w:rPr>
              <w:t>1</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8C5415" w14:textId="77777777" w:rsidR="009B252C" w:rsidRDefault="009B252C">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0.037</w:t>
            </w:r>
            <w:r w:rsidR="00357C91">
              <w:rPr>
                <w:rFonts w:eastAsia="Calibri" w:cs="Arial"/>
                <w:color w:val="000000"/>
                <w:sz w:val="18"/>
                <w:szCs w:val="18"/>
                <w:lang w:eastAsia="en-GB"/>
              </w:rPr>
              <w:t>1</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828D36" w14:textId="77777777" w:rsidR="009B252C" w:rsidRDefault="00357C91">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2.97E-05</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701375" w14:textId="77777777" w:rsidR="009B252C" w:rsidRDefault="00357C91">
            <w:pPr>
              <w:keepNext/>
              <w:spacing w:before="60" w:after="60"/>
              <w:jc w:val="center"/>
              <w:rPr>
                <w:rFonts w:eastAsia="Calibri" w:cs="Arial"/>
                <w:color w:val="000000"/>
                <w:sz w:val="16"/>
                <w:szCs w:val="16"/>
                <w:lang w:eastAsia="en-GB"/>
              </w:rPr>
            </w:pPr>
            <w:r>
              <w:rPr>
                <w:rFonts w:eastAsia="Calibri" w:cs="Arial"/>
                <w:color w:val="000000"/>
                <w:sz w:val="18"/>
                <w:szCs w:val="18"/>
                <w:lang w:eastAsia="en-GB"/>
              </w:rPr>
              <w:t>0.21</w:t>
            </w:r>
          </w:p>
        </w:tc>
      </w:tr>
    </w:tbl>
    <w:p w14:paraId="0C18474F" w14:textId="77777777" w:rsidR="00CF59EF" w:rsidRDefault="00F93C25">
      <w:pPr>
        <w:spacing w:before="60"/>
        <w:jc w:val="both"/>
        <w:rPr>
          <w:rFonts w:eastAsia="Calibri" w:cs="Arial"/>
          <w:sz w:val="18"/>
          <w:szCs w:val="18"/>
          <w:lang w:eastAsia="en-GB"/>
        </w:rPr>
      </w:pPr>
      <w:r>
        <w:rPr>
          <w:rFonts w:eastAsia="Calibri" w:cs="Arial"/>
          <w:sz w:val="18"/>
          <w:szCs w:val="18"/>
          <w:lang w:eastAsia="en-GB"/>
        </w:rPr>
        <w:t>*</w:t>
      </w:r>
      <w:r w:rsidR="003E0E9A">
        <w:rPr>
          <w:rFonts w:eastAsia="Calibri" w:cs="Arial"/>
          <w:sz w:val="18"/>
          <w:szCs w:val="18"/>
          <w:lang w:eastAsia="en-GB"/>
        </w:rPr>
        <w:t xml:space="preserve"> </w:t>
      </w:r>
      <w:r>
        <w:rPr>
          <w:rFonts w:eastAsia="Calibri" w:cs="Arial"/>
          <w:sz w:val="18"/>
          <w:szCs w:val="18"/>
          <w:lang w:eastAsia="en-GB"/>
        </w:rPr>
        <w:t>The risk assessment for the freshwater compartment also covers the risk to the (freshwater) sediment compartment</w:t>
      </w:r>
    </w:p>
    <w:p w14:paraId="1A7449A3" w14:textId="77777777" w:rsidR="00F93C25" w:rsidRDefault="00F93C25">
      <w:pPr>
        <w:spacing w:before="60"/>
        <w:jc w:val="both"/>
        <w:rPr>
          <w:rFonts w:eastAsia="Calibri" w:cs="Arial"/>
          <w:sz w:val="18"/>
          <w:szCs w:val="18"/>
          <w:lang w:eastAsia="en-GB"/>
        </w:rPr>
      </w:pPr>
    </w:p>
    <w:p w14:paraId="7A39C4EF" w14:textId="77777777" w:rsidR="00CF59EF" w:rsidRDefault="000B5D37">
      <w:pPr>
        <w:rPr>
          <w:rFonts w:eastAsia="Calibri"/>
          <w:b/>
          <w:i/>
          <w:sz w:val="22"/>
          <w:szCs w:val="22"/>
          <w:lang w:eastAsia="en-US"/>
        </w:rPr>
      </w:pPr>
      <w:bookmarkStart w:id="1602" w:name="_Toc403472802"/>
      <w:bookmarkStart w:id="1603" w:name="_Toc389729117"/>
      <w:bookmarkStart w:id="1604" w:name="_Toc377651047"/>
      <w:bookmarkEnd w:id="1602"/>
      <w:bookmarkEnd w:id="1603"/>
      <w:bookmarkEnd w:id="1604"/>
      <w:r>
        <w:rPr>
          <w:rFonts w:eastAsia="Calibri"/>
          <w:b/>
          <w:i/>
          <w:sz w:val="22"/>
          <w:szCs w:val="22"/>
          <w:lang w:eastAsia="en-US"/>
        </w:rPr>
        <w:t>Primary and secondary poisoning</w:t>
      </w:r>
    </w:p>
    <w:p w14:paraId="1544F30C" w14:textId="77777777" w:rsidR="00CF59EF" w:rsidRDefault="00CF59EF">
      <w:pPr>
        <w:rPr>
          <w:rFonts w:eastAsia="Calibri"/>
          <w:lang w:eastAsia="en-US"/>
        </w:rPr>
      </w:pPr>
    </w:p>
    <w:p w14:paraId="112CCE55" w14:textId="77777777" w:rsidR="00CF59EF" w:rsidRDefault="000B5D37">
      <w:pPr>
        <w:rPr>
          <w:rFonts w:eastAsia="Calibri"/>
          <w:u w:val="single"/>
          <w:lang w:eastAsia="en-US"/>
        </w:rPr>
      </w:pPr>
      <w:r>
        <w:rPr>
          <w:rFonts w:eastAsia="Calibri"/>
          <w:u w:val="single"/>
          <w:lang w:eastAsia="en-US"/>
        </w:rPr>
        <w:t xml:space="preserve">Primary poisoning </w:t>
      </w:r>
    </w:p>
    <w:p w14:paraId="7EF4447A" w14:textId="77777777" w:rsidR="00CF59EF" w:rsidRDefault="000B5D37">
      <w:pPr>
        <w:spacing w:before="60"/>
        <w:rPr>
          <w:rFonts w:eastAsia="Calibri"/>
          <w:lang w:eastAsia="en-US"/>
        </w:rPr>
      </w:pPr>
      <w:r>
        <w:rPr>
          <w:rFonts w:eastAsia="Calibri"/>
          <w:lang w:eastAsia="en-US"/>
        </w:rPr>
        <w:t>Not applicable as the product is intended for indoor use, and is not a rodenticide or pesticide.</w:t>
      </w:r>
    </w:p>
    <w:p w14:paraId="7BF405F6" w14:textId="77777777" w:rsidR="00CF59EF" w:rsidRDefault="00CF59EF">
      <w:pPr>
        <w:rPr>
          <w:lang w:eastAsia="en-US"/>
        </w:rPr>
      </w:pPr>
    </w:p>
    <w:p w14:paraId="5B95A221" w14:textId="77777777" w:rsidR="00CF59EF" w:rsidRDefault="000B5D37">
      <w:pPr>
        <w:rPr>
          <w:rFonts w:eastAsia="Calibri"/>
          <w:u w:val="single"/>
          <w:lang w:eastAsia="en-US"/>
        </w:rPr>
      </w:pPr>
      <w:r>
        <w:rPr>
          <w:rFonts w:eastAsia="Calibri"/>
          <w:u w:val="single"/>
          <w:lang w:eastAsia="en-US"/>
        </w:rPr>
        <w:t>Secondary poisoning</w:t>
      </w:r>
    </w:p>
    <w:p w14:paraId="1679BE42" w14:textId="77777777" w:rsidR="00CF59EF" w:rsidRDefault="000B5D37">
      <w:pPr>
        <w:spacing w:before="60"/>
        <w:jc w:val="both"/>
        <w:rPr>
          <w:rFonts w:eastAsia="Calibri"/>
          <w:lang w:eastAsia="en-US"/>
        </w:rPr>
      </w:pPr>
      <w:r>
        <w:rPr>
          <w:rFonts w:eastAsia="Calibri"/>
          <w:lang w:eastAsia="en-US"/>
        </w:rPr>
        <w:t>No data available. Sodium benzoate is unlikely to bioaccumulate in aquatic or terrestrial environment according to the</w:t>
      </w:r>
      <w:r>
        <w:t xml:space="preserve"> BPR guidance Vol. IV; Part B+C, v2.0 (ECHA, 2017)</w:t>
      </w:r>
      <w:r>
        <w:rPr>
          <w:rFonts w:eastAsia="Calibri"/>
          <w:lang w:eastAsia="en-US"/>
        </w:rPr>
        <w:t xml:space="preserve">, as its log </w:t>
      </w:r>
      <w:proofErr w:type="spellStart"/>
      <w:r>
        <w:rPr>
          <w:rFonts w:eastAsia="Calibri"/>
          <w:lang w:eastAsia="en-US"/>
        </w:rPr>
        <w:t>Kow</w:t>
      </w:r>
      <w:proofErr w:type="spellEnd"/>
      <w:r>
        <w:rPr>
          <w:rFonts w:eastAsia="Calibri"/>
          <w:lang w:eastAsia="en-US"/>
        </w:rPr>
        <w:t xml:space="preserve"> value is low (</w:t>
      </w:r>
      <w:r>
        <w:rPr>
          <w:rFonts w:eastAsia="Calibri"/>
          <w:lang w:eastAsia="en-US"/>
        </w:rPr>
        <w:noBreakHyphen/>
        <w:t xml:space="preserve">2.27), the substance is not highly adsorptive, does not belong to a class of substances known to have a potential to accumulate in living organisms, its structural features do not indicate accumulation and the substance is readily biodegradable. The bioconcentration factor for fish is </w:t>
      </w:r>
      <w:r w:rsidR="001F1CB8">
        <w:rPr>
          <w:rFonts w:eastAsia="Calibri"/>
          <w:lang w:eastAsia="en-US"/>
        </w:rPr>
        <w:t xml:space="preserve">0.0024 </w:t>
      </w:r>
      <w:r>
        <w:rPr>
          <w:rFonts w:eastAsia="Calibri"/>
          <w:lang w:eastAsia="en-US"/>
        </w:rPr>
        <w:t>L/kg and the bioconcentration factor for earthworms is 0.841 L/kg as determined with EUSES v2.1.2. No further assessment of secondary poisoning via the food chain is therefore considered necessary.</w:t>
      </w:r>
    </w:p>
    <w:p w14:paraId="57849D87" w14:textId="77777777" w:rsidR="009C501F" w:rsidRDefault="009C501F">
      <w:pPr>
        <w:spacing w:before="60"/>
        <w:jc w:val="both"/>
        <w:rPr>
          <w:rFonts w:eastAsia="Calibri"/>
          <w:lang w:eastAsia="en-US"/>
        </w:rPr>
      </w:pPr>
    </w:p>
    <w:p w14:paraId="159C1CB0" w14:textId="77777777" w:rsidR="00CF59EF" w:rsidRDefault="000B5D37" w:rsidP="006D35BB">
      <w:pPr>
        <w:pStyle w:val="Heading3"/>
      </w:pPr>
      <w:bookmarkStart w:id="1605" w:name="_Toc403566582"/>
      <w:bookmarkStart w:id="1606" w:name="_Toc389729118"/>
      <w:bookmarkStart w:id="1607" w:name="_Toc377651049"/>
      <w:bookmarkStart w:id="1608" w:name="_Toc525305255"/>
      <w:bookmarkStart w:id="1609" w:name="_Toc531868676"/>
      <w:r>
        <w:lastRenderedPageBreak/>
        <w:t xml:space="preserve">Risk </w:t>
      </w:r>
      <w:proofErr w:type="spellStart"/>
      <w:r>
        <w:t>characterisatio</w:t>
      </w:r>
      <w:bookmarkEnd w:id="1605"/>
      <w:bookmarkEnd w:id="1606"/>
      <w:bookmarkEnd w:id="1607"/>
      <w:bookmarkEnd w:id="1608"/>
      <w:r>
        <w:t>n</w:t>
      </w:r>
      <w:bookmarkEnd w:id="1609"/>
      <w:proofErr w:type="spellEnd"/>
    </w:p>
    <w:p w14:paraId="21053AD8" w14:textId="77777777" w:rsidR="00CF59EF" w:rsidRDefault="00CF59EF">
      <w:pPr>
        <w:keepNext/>
        <w:spacing w:before="60"/>
        <w:ind w:left="142"/>
        <w:rPr>
          <w:rFonts w:ascii="Times New Roman" w:eastAsia="Calibri" w:hAnsi="Times New Roman"/>
          <w:i/>
          <w:lang w:eastAsia="en-US"/>
        </w:rPr>
      </w:pPr>
    </w:p>
    <w:p w14:paraId="60AF3F11" w14:textId="77777777" w:rsidR="00CF59EF" w:rsidRDefault="000B5D37">
      <w:pPr>
        <w:keepNext/>
        <w:rPr>
          <w:rFonts w:eastAsia="Calibri"/>
          <w:b/>
          <w:i/>
          <w:sz w:val="22"/>
          <w:szCs w:val="22"/>
          <w:lang w:eastAsia="en-US"/>
        </w:rPr>
      </w:pPr>
      <w:bookmarkStart w:id="1610" w:name="_Toc403472804"/>
      <w:bookmarkStart w:id="1611" w:name="_Toc389729120"/>
      <w:r>
        <w:rPr>
          <w:rFonts w:eastAsia="Calibri"/>
          <w:b/>
          <w:i/>
          <w:sz w:val="22"/>
          <w:szCs w:val="22"/>
          <w:lang w:eastAsia="en-US"/>
        </w:rPr>
        <w:t>Atmosphere</w:t>
      </w:r>
    </w:p>
    <w:p w14:paraId="3E135DC5" w14:textId="77777777" w:rsidR="00CF59EF" w:rsidRDefault="00CF59EF">
      <w:pPr>
        <w:keepNext/>
        <w:rPr>
          <w:rFonts w:eastAsia="Calibri"/>
          <w:b/>
          <w:i/>
          <w:sz w:val="22"/>
          <w:szCs w:val="22"/>
          <w:lang w:eastAsia="en-US"/>
        </w:rPr>
      </w:pPr>
    </w:p>
    <w:p w14:paraId="08012C4E" w14:textId="77777777" w:rsidR="00CF59EF" w:rsidRDefault="000B5D37">
      <w:pPr>
        <w:keepNext/>
        <w:rPr>
          <w:rFonts w:eastAsia="Calibri"/>
          <w:sz w:val="22"/>
          <w:szCs w:val="22"/>
          <w:lang w:eastAsia="en-US"/>
        </w:rPr>
      </w:pPr>
      <w:r w:rsidRPr="00F8072D">
        <w:rPr>
          <w:rFonts w:eastAsia="Calibri"/>
          <w:lang w:eastAsia="en-US"/>
        </w:rPr>
        <w:t>Not a relevant receiving compartment</w:t>
      </w:r>
      <w:r w:rsidR="005E5B00">
        <w:rPr>
          <w:rFonts w:eastAsia="Calibri"/>
          <w:lang w:eastAsia="en-US"/>
        </w:rPr>
        <w:t>, considering the indoor use of the product and the low vapour pressure of the active substance</w:t>
      </w:r>
      <w:r w:rsidRPr="00F8072D">
        <w:rPr>
          <w:rFonts w:eastAsia="Calibri"/>
          <w:lang w:eastAsia="en-US"/>
        </w:rPr>
        <w:t>.</w:t>
      </w:r>
      <w:r>
        <w:rPr>
          <w:rFonts w:eastAsia="Calibri"/>
          <w:sz w:val="22"/>
          <w:szCs w:val="22"/>
          <w:lang w:eastAsia="en-US"/>
        </w:rPr>
        <w:t xml:space="preserve">  </w:t>
      </w:r>
    </w:p>
    <w:p w14:paraId="300D68BB" w14:textId="77777777" w:rsidR="00CF59EF" w:rsidRDefault="00CF59EF">
      <w:pPr>
        <w:keepNext/>
        <w:rPr>
          <w:rFonts w:eastAsia="Calibri"/>
          <w:b/>
          <w:i/>
          <w:sz w:val="22"/>
          <w:szCs w:val="22"/>
          <w:lang w:eastAsia="en-US"/>
        </w:rPr>
      </w:pPr>
    </w:p>
    <w:p w14:paraId="0D7790D9" w14:textId="77777777" w:rsidR="00CF59EF" w:rsidRDefault="000B5D37">
      <w:pPr>
        <w:keepNext/>
        <w:rPr>
          <w:rFonts w:eastAsia="Calibri"/>
          <w:b/>
          <w:i/>
          <w:sz w:val="22"/>
          <w:szCs w:val="22"/>
          <w:lang w:eastAsia="en-US"/>
        </w:rPr>
      </w:pPr>
      <w:bookmarkStart w:id="1612" w:name="_Toc377651051"/>
      <w:r>
        <w:rPr>
          <w:rFonts w:eastAsia="Calibri"/>
          <w:b/>
          <w:i/>
          <w:sz w:val="22"/>
          <w:szCs w:val="22"/>
          <w:lang w:eastAsia="en-US"/>
        </w:rPr>
        <w:t>Sewage treatment plant (STP</w:t>
      </w:r>
      <w:bookmarkEnd w:id="1612"/>
      <w:r>
        <w:rPr>
          <w:rFonts w:eastAsia="Calibri"/>
          <w:b/>
          <w:i/>
          <w:sz w:val="22"/>
          <w:szCs w:val="22"/>
          <w:lang w:eastAsia="en-US"/>
        </w:rPr>
        <w:t>)</w:t>
      </w:r>
      <w:bookmarkEnd w:id="1610"/>
      <w:bookmarkEnd w:id="1611"/>
      <w:r>
        <w:rPr>
          <w:rFonts w:eastAsia="Calibri"/>
          <w:b/>
          <w:i/>
          <w:sz w:val="22"/>
          <w:szCs w:val="22"/>
          <w:lang w:eastAsia="en-US"/>
        </w:rPr>
        <w:t xml:space="preserve"> </w:t>
      </w:r>
    </w:p>
    <w:p w14:paraId="3EFC902D" w14:textId="77777777" w:rsidR="00CF59EF" w:rsidRDefault="00CF59EF">
      <w:pPr>
        <w:keepNext/>
        <w:spacing w:before="60"/>
        <w:rPr>
          <w:rFonts w:ascii="Times New Roman" w:eastAsia="Calibri" w:hAnsi="Times New Roman"/>
          <w:i/>
          <w:lang w:eastAsia="en-US"/>
        </w:rPr>
      </w:pPr>
    </w:p>
    <w:tbl>
      <w:tblPr>
        <w:tblW w:w="675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489"/>
      </w:tblGrid>
      <w:tr w:rsidR="00CF59EF" w14:paraId="3390546C" w14:textId="77777777" w:rsidTr="008A006F">
        <w:trPr>
          <w:trHeight w:val="249"/>
        </w:trPr>
        <w:tc>
          <w:tcPr>
            <w:tcW w:w="6750"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7A33E2CA" w14:textId="77777777" w:rsidR="00CF59EF" w:rsidRDefault="000B5D37" w:rsidP="00394900">
            <w:pPr>
              <w:keepNext/>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CF59EF" w14:paraId="64706F19" w14:textId="77777777" w:rsidTr="008A006F">
        <w:trPr>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038295" w14:textId="77777777" w:rsidR="00CF59EF" w:rsidRDefault="00CF59EF" w:rsidP="00394900">
            <w:pPr>
              <w:keepNext/>
              <w:spacing w:before="60" w:after="60" w:line="260" w:lineRule="atLeast"/>
              <w:jc w:val="center"/>
              <w:rPr>
                <w:rFonts w:eastAsia="Calibri" w:cs="Arial"/>
                <w:color w:val="000000"/>
                <w:sz w:val="18"/>
                <w:szCs w:val="18"/>
                <w:lang w:eastAsia="en-GB"/>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B575AD" w14:textId="77777777" w:rsidR="00CF59EF" w:rsidRDefault="000B5D37" w:rsidP="00394900">
            <w:pPr>
              <w:keepNext/>
              <w:spacing w:before="60" w:after="60" w:line="260" w:lineRule="atLeast"/>
              <w:jc w:val="center"/>
              <w:rPr>
                <w:rFonts w:eastAsia="Calibri" w:cs="Arial"/>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CF59EF" w14:paraId="0F835696" w14:textId="77777777" w:rsidTr="008A006F">
        <w:trPr>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62F8A9" w14:textId="77777777" w:rsidR="00CF59EF" w:rsidRPr="008A006F" w:rsidRDefault="00440A6C" w:rsidP="00394900">
            <w:pPr>
              <w:keepNext/>
              <w:spacing w:before="60" w:after="60" w:line="260" w:lineRule="atLeast"/>
              <w:rPr>
                <w:rFonts w:eastAsia="Calibri" w:cs="Arial"/>
                <w:color w:val="000000"/>
                <w:sz w:val="18"/>
                <w:szCs w:val="18"/>
                <w:lang w:eastAsia="en-GB"/>
              </w:rPr>
            </w:pPr>
            <w:r w:rsidRPr="008A006F">
              <w:rPr>
                <w:rFonts w:eastAsia="Calibri" w:cs="Arial"/>
                <w:sz w:val="18"/>
                <w:szCs w:val="18"/>
                <w:lang w:eastAsia="en-GB"/>
              </w:rPr>
              <w:t>Consumption-based aggregated exposure</w:t>
            </w:r>
            <w:r w:rsidR="002A0553" w:rsidRPr="008A006F">
              <w:rPr>
                <w:rFonts w:eastAsia="Calibri" w:cs="Arial"/>
                <w:sz w:val="18"/>
                <w:szCs w:val="18"/>
                <w:lang w:eastAsia="en-GB"/>
              </w:rPr>
              <w:t>*</w:t>
            </w: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EA386C" w14:textId="77777777" w:rsidR="00CF59EF" w:rsidRPr="008A006F" w:rsidRDefault="000B5D37" w:rsidP="00357C91">
            <w:pPr>
              <w:keepNext/>
              <w:spacing w:before="60" w:after="60" w:line="260" w:lineRule="atLeast"/>
              <w:jc w:val="center"/>
              <w:rPr>
                <w:rFonts w:eastAsia="Calibri" w:cs="Arial"/>
                <w:color w:val="000000"/>
                <w:sz w:val="18"/>
                <w:szCs w:val="18"/>
                <w:lang w:eastAsia="en-GB"/>
              </w:rPr>
            </w:pPr>
            <w:r w:rsidRPr="008A006F">
              <w:rPr>
                <w:rFonts w:eastAsia="Calibri" w:cs="Arial"/>
                <w:color w:val="000000"/>
                <w:sz w:val="18"/>
                <w:szCs w:val="18"/>
                <w:lang w:eastAsia="en-GB"/>
              </w:rPr>
              <w:t>0.</w:t>
            </w:r>
            <w:r w:rsidR="00087CE7">
              <w:rPr>
                <w:rFonts w:eastAsia="Calibri" w:cs="Arial"/>
                <w:color w:val="000000"/>
                <w:sz w:val="18"/>
                <w:szCs w:val="18"/>
                <w:lang w:eastAsia="en-GB"/>
              </w:rPr>
              <w:t>0</w:t>
            </w:r>
            <w:r w:rsidR="00357C91">
              <w:rPr>
                <w:rFonts w:eastAsia="Calibri" w:cs="Arial"/>
                <w:color w:val="000000"/>
                <w:sz w:val="18"/>
                <w:szCs w:val="18"/>
                <w:lang w:eastAsia="en-GB"/>
              </w:rPr>
              <w:t>31</w:t>
            </w:r>
          </w:p>
        </w:tc>
      </w:tr>
    </w:tbl>
    <w:p w14:paraId="3C9D79AE" w14:textId="77777777" w:rsidR="00CF59EF" w:rsidRPr="003C041C" w:rsidRDefault="00440A6C" w:rsidP="00394900">
      <w:pPr>
        <w:keepNext/>
        <w:spacing w:before="60"/>
        <w:rPr>
          <w:rFonts w:eastAsia="Calibri"/>
          <w:sz w:val="18"/>
          <w:szCs w:val="18"/>
          <w:lang w:eastAsia="en-US"/>
        </w:rPr>
      </w:pPr>
      <w:r w:rsidRPr="003C041C">
        <w:rPr>
          <w:rFonts w:eastAsia="Calibri"/>
          <w:sz w:val="18"/>
          <w:szCs w:val="18"/>
          <w:lang w:eastAsia="en-US"/>
        </w:rPr>
        <w:t xml:space="preserve">*The assessment was based on the worst-case scenario, with the highest </w:t>
      </w:r>
      <w:r w:rsidR="00B2092D" w:rsidRPr="003C041C">
        <w:rPr>
          <w:rFonts w:eastAsia="Calibri"/>
          <w:sz w:val="18"/>
          <w:szCs w:val="18"/>
          <w:lang w:eastAsia="en-US"/>
        </w:rPr>
        <w:t>emission</w:t>
      </w:r>
    </w:p>
    <w:p w14:paraId="0051E31A" w14:textId="77777777" w:rsidR="00440A6C" w:rsidRDefault="00440A6C">
      <w:pPr>
        <w:keepNext/>
        <w:spacing w:before="60"/>
        <w:rPr>
          <w:rFonts w:eastAsia="Calibri"/>
          <w:u w:val="single"/>
          <w:lang w:eastAsia="en-US"/>
        </w:rPr>
      </w:pPr>
    </w:p>
    <w:p w14:paraId="60821C95" w14:textId="77777777" w:rsidR="00CF59EF" w:rsidRDefault="000B5D37">
      <w:pPr>
        <w:keepNext/>
        <w:spacing w:before="60"/>
        <w:rPr>
          <w:rFonts w:ascii="Times New Roman" w:eastAsia="Calibri" w:hAnsi="Times New Roman"/>
          <w:lang w:eastAsia="en-US"/>
        </w:rPr>
      </w:pPr>
      <w:r>
        <w:rPr>
          <w:rFonts w:eastAsia="Calibri"/>
          <w:u w:val="single"/>
          <w:lang w:eastAsia="en-US"/>
        </w:rPr>
        <w:t>Conclusion:</w:t>
      </w:r>
      <w:r>
        <w:rPr>
          <w:rFonts w:eastAsia="Calibri"/>
          <w:lang w:eastAsia="en-US"/>
        </w:rPr>
        <w:t xml:space="preserve"> The </w:t>
      </w:r>
      <w:r w:rsidR="00F8072D">
        <w:rPr>
          <w:rFonts w:eastAsia="Calibri"/>
          <w:lang w:eastAsia="en-US"/>
        </w:rPr>
        <w:t xml:space="preserve">PEC/PNEC ratio </w:t>
      </w:r>
      <w:r>
        <w:rPr>
          <w:rFonts w:eastAsia="Calibri"/>
          <w:lang w:eastAsia="en-US"/>
        </w:rPr>
        <w:t>based on aggregated exposure of all professional and non-professional uses is &lt;1. The risk to micro-organisms in the STP is acceptable.</w:t>
      </w:r>
    </w:p>
    <w:p w14:paraId="7A8F6C8C" w14:textId="77777777" w:rsidR="00CF59EF" w:rsidRDefault="00CF59EF">
      <w:pPr>
        <w:keepNext/>
        <w:spacing w:before="60"/>
        <w:rPr>
          <w:rFonts w:ascii="Times New Roman" w:eastAsia="Calibri" w:hAnsi="Times New Roman"/>
          <w:i/>
          <w:lang w:eastAsia="en-US"/>
        </w:rPr>
      </w:pPr>
    </w:p>
    <w:p w14:paraId="6B443F14" w14:textId="77777777" w:rsidR="00CF59EF" w:rsidRDefault="000B5D37">
      <w:pPr>
        <w:keepNext/>
        <w:rPr>
          <w:rFonts w:eastAsia="Calibri"/>
          <w:b/>
          <w:i/>
          <w:sz w:val="22"/>
          <w:szCs w:val="22"/>
          <w:lang w:eastAsia="en-US"/>
        </w:rPr>
      </w:pPr>
      <w:r>
        <w:rPr>
          <w:rFonts w:eastAsia="Calibri"/>
          <w:b/>
          <w:i/>
          <w:sz w:val="22"/>
          <w:szCs w:val="22"/>
          <w:lang w:eastAsia="en-US"/>
        </w:rPr>
        <w:t xml:space="preserve">Aquatic compartment </w:t>
      </w:r>
    </w:p>
    <w:p w14:paraId="3434C4CC" w14:textId="77777777" w:rsidR="00CF59EF" w:rsidRDefault="00CF59EF">
      <w:pPr>
        <w:keepNext/>
        <w:spacing w:before="60"/>
        <w:rPr>
          <w:rFonts w:ascii="Times New Roman" w:eastAsia="Calibri" w:hAnsi="Times New Roman"/>
          <w:i/>
          <w:lang w:eastAsia="en-US"/>
        </w:rPr>
      </w:pPr>
    </w:p>
    <w:tbl>
      <w:tblPr>
        <w:tblW w:w="67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493"/>
      </w:tblGrid>
      <w:tr w:rsidR="00CF59EF" w14:paraId="192C0843" w14:textId="77777777" w:rsidTr="003C041C">
        <w:trPr>
          <w:cantSplit/>
          <w:trHeight w:val="249"/>
        </w:trPr>
        <w:tc>
          <w:tcPr>
            <w:tcW w:w="6754"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676E9A8D" w14:textId="77777777" w:rsidR="00CF59EF" w:rsidRDefault="000B5D37" w:rsidP="00394900">
            <w:pPr>
              <w:keepNext/>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E3291F" w14:paraId="76A31684" w14:textId="77777777" w:rsidTr="00E3291F">
        <w:trPr>
          <w:cantSplit/>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45C18A" w14:textId="77777777" w:rsidR="00E3291F" w:rsidRDefault="00E3291F" w:rsidP="00394900">
            <w:pPr>
              <w:keepNext/>
              <w:spacing w:before="60" w:after="60" w:line="260" w:lineRule="atLeast"/>
              <w:jc w:val="center"/>
              <w:rPr>
                <w:rFonts w:eastAsia="Calibri" w:cs="Arial"/>
                <w:color w:val="000000"/>
                <w:sz w:val="18"/>
                <w:szCs w:val="18"/>
                <w:lang w:eastAsia="en-GB"/>
              </w:rPr>
            </w:pPr>
          </w:p>
        </w:tc>
        <w:tc>
          <w:tcPr>
            <w:tcW w:w="34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1EA4C0" w14:textId="77777777" w:rsidR="00E3291F" w:rsidRDefault="00E3291F" w:rsidP="00394900">
            <w:pPr>
              <w:keepNext/>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w:t>
            </w:r>
            <w:proofErr w:type="spellStart"/>
            <w:r>
              <w:rPr>
                <w:rFonts w:eastAsia="Calibri" w:cs="Arial"/>
                <w:b/>
                <w:bCs/>
                <w:color w:val="000000"/>
                <w:sz w:val="18"/>
                <w:szCs w:val="18"/>
                <w:lang w:eastAsia="en-GB"/>
              </w:rPr>
              <w:t>PNEC</w:t>
            </w:r>
            <w:r>
              <w:rPr>
                <w:rFonts w:eastAsia="Calibri" w:cs="Arial"/>
                <w:b/>
                <w:bCs/>
                <w:color w:val="000000"/>
                <w:sz w:val="18"/>
                <w:szCs w:val="18"/>
                <w:vertAlign w:val="subscript"/>
                <w:lang w:eastAsia="en-GB"/>
              </w:rPr>
              <w:t>water</w:t>
            </w:r>
            <w:proofErr w:type="spellEnd"/>
            <w:r>
              <w:rPr>
                <w:rFonts w:eastAsia="Calibri" w:cs="Arial"/>
                <w:b/>
                <w:bCs/>
                <w:color w:val="000000"/>
                <w:sz w:val="18"/>
                <w:szCs w:val="18"/>
                <w:lang w:eastAsia="en-GB"/>
              </w:rPr>
              <w:t>**</w:t>
            </w:r>
          </w:p>
        </w:tc>
      </w:tr>
      <w:tr w:rsidR="00E3291F" w14:paraId="417C669E" w14:textId="77777777" w:rsidTr="00E3291F">
        <w:trPr>
          <w:cantSplit/>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A3ABB4" w14:textId="77777777" w:rsidR="00E3291F" w:rsidRDefault="00E3291F" w:rsidP="00394900">
            <w:pPr>
              <w:keepNext/>
              <w:spacing w:before="60" w:after="60" w:line="260" w:lineRule="atLeast"/>
              <w:rPr>
                <w:rFonts w:eastAsia="Calibri" w:cs="Arial"/>
                <w:color w:val="000000"/>
                <w:sz w:val="18"/>
                <w:szCs w:val="18"/>
                <w:lang w:eastAsia="en-GB"/>
              </w:rPr>
            </w:pPr>
            <w:r>
              <w:rPr>
                <w:rFonts w:eastAsia="Calibri" w:cs="Arial"/>
                <w:sz w:val="18"/>
                <w:szCs w:val="18"/>
                <w:lang w:eastAsia="en-GB"/>
              </w:rPr>
              <w:t>Consumption-based aggregated exposure*</w:t>
            </w:r>
          </w:p>
        </w:tc>
        <w:tc>
          <w:tcPr>
            <w:tcW w:w="34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FF0C01" w14:textId="77777777" w:rsidR="00E3291F" w:rsidRDefault="00A12FE3" w:rsidP="00394900">
            <w:pPr>
              <w:keepNext/>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0.12</w:t>
            </w:r>
          </w:p>
        </w:tc>
      </w:tr>
    </w:tbl>
    <w:p w14:paraId="5C799696" w14:textId="77777777" w:rsidR="00B2092D" w:rsidRPr="003C041C" w:rsidRDefault="00B2092D" w:rsidP="00394900">
      <w:pPr>
        <w:keepNext/>
        <w:spacing w:before="60"/>
        <w:rPr>
          <w:rFonts w:eastAsia="Calibri"/>
          <w:sz w:val="18"/>
          <w:szCs w:val="18"/>
          <w:lang w:eastAsia="en-US"/>
        </w:rPr>
      </w:pPr>
      <w:r w:rsidRPr="003C041C">
        <w:rPr>
          <w:rFonts w:eastAsia="Calibri"/>
          <w:sz w:val="18"/>
          <w:szCs w:val="18"/>
          <w:lang w:eastAsia="en-US"/>
        </w:rPr>
        <w:t>*The assessment was based on the worst-case scenario, with the highest local emission</w:t>
      </w:r>
    </w:p>
    <w:p w14:paraId="3F92D481" w14:textId="77777777" w:rsidR="00764440" w:rsidRPr="00764440" w:rsidRDefault="00764440" w:rsidP="00394900">
      <w:pPr>
        <w:keepNext/>
        <w:spacing w:before="60"/>
        <w:rPr>
          <w:rFonts w:eastAsia="Calibri"/>
          <w:sz w:val="18"/>
          <w:szCs w:val="18"/>
          <w:u w:val="single"/>
          <w:lang w:eastAsia="en-US"/>
        </w:rPr>
      </w:pPr>
      <w:r w:rsidRPr="003C041C">
        <w:rPr>
          <w:rFonts w:eastAsia="Calibri"/>
          <w:sz w:val="18"/>
          <w:szCs w:val="18"/>
          <w:lang w:eastAsia="en-US"/>
        </w:rPr>
        <w:t>**</w:t>
      </w:r>
      <w:r w:rsidRPr="003C041C">
        <w:rPr>
          <w:rFonts w:eastAsia="Calibri" w:cs="Arial"/>
          <w:sz w:val="18"/>
          <w:szCs w:val="18"/>
          <w:lang w:eastAsia="en-GB"/>
        </w:rPr>
        <w:t xml:space="preserve"> The</w:t>
      </w:r>
      <w:r w:rsidRPr="00764440">
        <w:rPr>
          <w:rFonts w:eastAsia="Calibri" w:cs="Arial"/>
          <w:sz w:val="18"/>
          <w:szCs w:val="18"/>
          <w:lang w:eastAsia="en-GB"/>
        </w:rPr>
        <w:t xml:space="preserve"> risk assessment for the freshwater compartment also covers the risk to the sediment compartment</w:t>
      </w:r>
    </w:p>
    <w:p w14:paraId="7EEF34CC" w14:textId="77777777" w:rsidR="00B2092D" w:rsidRDefault="00B2092D">
      <w:pPr>
        <w:keepNext/>
        <w:spacing w:before="60"/>
        <w:rPr>
          <w:rFonts w:eastAsia="Calibri"/>
          <w:u w:val="single"/>
          <w:lang w:eastAsia="en-US"/>
        </w:rPr>
      </w:pPr>
    </w:p>
    <w:p w14:paraId="39C97171" w14:textId="77777777" w:rsidR="00CF59EF" w:rsidRDefault="000B5D37">
      <w:pPr>
        <w:keepNext/>
        <w:spacing w:before="60"/>
        <w:rPr>
          <w:rFonts w:ascii="Times New Roman" w:eastAsia="Calibri" w:hAnsi="Times New Roman"/>
          <w:lang w:eastAsia="en-US"/>
        </w:rPr>
      </w:pPr>
      <w:r w:rsidRPr="00F8072D">
        <w:rPr>
          <w:rFonts w:eastAsia="Calibri"/>
          <w:u w:val="single"/>
          <w:lang w:eastAsia="en-US"/>
        </w:rPr>
        <w:t>Conclusion:</w:t>
      </w:r>
      <w:r w:rsidRPr="00F8072D">
        <w:rPr>
          <w:rFonts w:eastAsia="Calibri"/>
          <w:lang w:eastAsia="en-US"/>
        </w:rPr>
        <w:t xml:space="preserve"> </w:t>
      </w:r>
      <w:r w:rsidRPr="008A006F">
        <w:rPr>
          <w:rFonts w:eastAsia="Calibri"/>
          <w:lang w:eastAsia="en-US"/>
        </w:rPr>
        <w:t xml:space="preserve">The </w:t>
      </w:r>
      <w:r w:rsidR="00F8072D" w:rsidRPr="008A006F">
        <w:rPr>
          <w:rFonts w:eastAsia="Calibri"/>
          <w:lang w:eastAsia="en-US"/>
        </w:rPr>
        <w:t>PEC/PNEC</w:t>
      </w:r>
      <w:r w:rsidRPr="008A006F">
        <w:rPr>
          <w:rFonts w:eastAsia="Calibri"/>
          <w:lang w:eastAsia="en-US"/>
        </w:rPr>
        <w:t>, based on aggregated exposure of all professional and non-professional uses, is</w:t>
      </w:r>
      <w:r w:rsidR="00612BF5" w:rsidRPr="008A006F">
        <w:rPr>
          <w:rFonts w:eastAsia="Calibri"/>
          <w:lang w:eastAsia="en-US"/>
        </w:rPr>
        <w:t xml:space="preserve"> </w:t>
      </w:r>
      <w:r w:rsidR="00A12FE3">
        <w:rPr>
          <w:rFonts w:eastAsia="Calibri"/>
          <w:lang w:eastAsia="en-US"/>
        </w:rPr>
        <w:t>0.12</w:t>
      </w:r>
      <w:r w:rsidRPr="008A006F">
        <w:rPr>
          <w:rFonts w:eastAsia="Calibri"/>
          <w:lang w:eastAsia="en-US"/>
        </w:rPr>
        <w:t xml:space="preserve">. The risk to aquatic organisms and sediment organisms is </w:t>
      </w:r>
      <w:r w:rsidR="00612BF5" w:rsidRPr="008A006F">
        <w:rPr>
          <w:rFonts w:eastAsia="Calibri"/>
          <w:lang w:eastAsia="en-US"/>
        </w:rPr>
        <w:t>considered</w:t>
      </w:r>
      <w:r w:rsidR="00F8072D" w:rsidRPr="008A006F">
        <w:rPr>
          <w:rFonts w:eastAsia="Calibri"/>
          <w:lang w:eastAsia="en-US"/>
        </w:rPr>
        <w:t xml:space="preserve"> </w:t>
      </w:r>
      <w:r w:rsidRPr="008A006F">
        <w:rPr>
          <w:rFonts w:eastAsia="Calibri"/>
          <w:lang w:eastAsia="en-US"/>
        </w:rPr>
        <w:t>acceptable</w:t>
      </w:r>
      <w:r w:rsidRPr="0091671F">
        <w:rPr>
          <w:rFonts w:eastAsia="Calibri"/>
          <w:lang w:eastAsia="en-US"/>
        </w:rPr>
        <w:t>.</w:t>
      </w:r>
    </w:p>
    <w:p w14:paraId="0011D54B" w14:textId="77777777" w:rsidR="00CF59EF" w:rsidRDefault="00CF59EF">
      <w:pPr>
        <w:keepNext/>
        <w:spacing w:before="60"/>
        <w:rPr>
          <w:rFonts w:ascii="Times New Roman" w:eastAsia="Calibri" w:hAnsi="Times New Roman"/>
          <w:i/>
          <w:lang w:eastAsia="en-US"/>
        </w:rPr>
      </w:pPr>
    </w:p>
    <w:p w14:paraId="47305E89" w14:textId="77777777" w:rsidR="00CF59EF" w:rsidRDefault="000B5D37">
      <w:pPr>
        <w:keepNext/>
        <w:rPr>
          <w:rFonts w:eastAsia="Calibri"/>
          <w:b/>
          <w:i/>
          <w:sz w:val="22"/>
          <w:szCs w:val="22"/>
          <w:lang w:eastAsia="en-US"/>
        </w:rPr>
      </w:pPr>
      <w:r>
        <w:rPr>
          <w:rFonts w:eastAsia="Calibri"/>
          <w:b/>
          <w:i/>
          <w:sz w:val="22"/>
          <w:szCs w:val="22"/>
          <w:lang w:eastAsia="en-US"/>
        </w:rPr>
        <w:t xml:space="preserve">Terrestrial compartment </w:t>
      </w:r>
    </w:p>
    <w:p w14:paraId="25A781C4" w14:textId="77777777" w:rsidR="00CF59EF" w:rsidRDefault="00CF59EF">
      <w:pPr>
        <w:keepNext/>
        <w:spacing w:before="60"/>
        <w:rPr>
          <w:rFonts w:ascii="Times New Roman" w:eastAsia="Calibri" w:hAnsi="Times New Roman"/>
          <w:i/>
          <w:lang w:eastAsia="en-US"/>
        </w:rPr>
      </w:pPr>
    </w:p>
    <w:tbl>
      <w:tblPr>
        <w:tblW w:w="680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543"/>
      </w:tblGrid>
      <w:tr w:rsidR="00CF59EF" w14:paraId="3777175A" w14:textId="77777777" w:rsidTr="0091671F">
        <w:trPr>
          <w:trHeight w:val="249"/>
        </w:trPr>
        <w:tc>
          <w:tcPr>
            <w:tcW w:w="6804"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262A1512" w14:textId="77777777" w:rsidR="00CF59EF" w:rsidRDefault="000B5D37" w:rsidP="007B054E">
            <w:pPr>
              <w:keepNext/>
              <w:keepLines/>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CF59EF" w14:paraId="3043CAF5" w14:textId="77777777" w:rsidTr="009E259C">
        <w:trPr>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C799EE" w14:textId="77777777" w:rsidR="00CF59EF" w:rsidRDefault="00CF59EF" w:rsidP="007B054E">
            <w:pPr>
              <w:keepNext/>
              <w:keepLines/>
              <w:spacing w:before="60" w:after="60" w:line="260" w:lineRule="atLeast"/>
              <w:jc w:val="center"/>
              <w:rPr>
                <w:rFonts w:eastAsia="Calibri" w:cs="Arial"/>
                <w:color w:val="000000"/>
                <w:sz w:val="18"/>
                <w:szCs w:val="18"/>
                <w:lang w:eastAsia="en-GB"/>
              </w:rPr>
            </w:pP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692F2D" w14:textId="77777777" w:rsidR="00CF59EF" w:rsidRDefault="000B5D37" w:rsidP="007B054E">
            <w:pPr>
              <w:keepNext/>
              <w:keepLines/>
              <w:spacing w:before="60" w:after="60" w:line="260" w:lineRule="atLeast"/>
              <w:jc w:val="center"/>
              <w:rPr>
                <w:rFonts w:eastAsia="Calibri" w:cs="Arial"/>
                <w:color w:val="000000"/>
                <w:sz w:val="18"/>
                <w:szCs w:val="18"/>
                <w:lang w:eastAsia="en-GB"/>
              </w:rPr>
            </w:pPr>
            <w:r>
              <w:rPr>
                <w:rFonts w:eastAsia="Calibri" w:cs="Arial"/>
                <w:b/>
                <w:bCs/>
                <w:color w:val="000000"/>
                <w:sz w:val="18"/>
                <w:szCs w:val="18"/>
                <w:lang w:eastAsia="en-GB"/>
              </w:rPr>
              <w:t>PEC/</w:t>
            </w:r>
            <w:proofErr w:type="spellStart"/>
            <w:r>
              <w:rPr>
                <w:rFonts w:eastAsia="Calibri" w:cs="Arial"/>
                <w:b/>
                <w:bCs/>
                <w:color w:val="000000"/>
                <w:sz w:val="18"/>
                <w:szCs w:val="18"/>
                <w:lang w:eastAsia="en-GB"/>
              </w:rPr>
              <w:t>PNEC</w:t>
            </w:r>
            <w:r>
              <w:rPr>
                <w:rFonts w:eastAsia="Calibri" w:cs="Arial"/>
                <w:b/>
                <w:bCs/>
                <w:color w:val="000000"/>
                <w:sz w:val="18"/>
                <w:szCs w:val="18"/>
                <w:vertAlign w:val="subscript"/>
                <w:lang w:eastAsia="en-GB"/>
              </w:rPr>
              <w:t>soil</w:t>
            </w:r>
            <w:proofErr w:type="spellEnd"/>
          </w:p>
        </w:tc>
      </w:tr>
      <w:tr w:rsidR="00CF59EF" w14:paraId="62785366" w14:textId="77777777" w:rsidTr="009E259C">
        <w:trPr>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CDEB5A" w14:textId="77777777" w:rsidR="00CF59EF" w:rsidRDefault="00440A6C" w:rsidP="007B054E">
            <w:pPr>
              <w:keepNext/>
              <w:keepLines/>
              <w:spacing w:before="60" w:after="60" w:line="260" w:lineRule="atLeast"/>
              <w:rPr>
                <w:rFonts w:eastAsia="Calibri" w:cs="Arial"/>
                <w:color w:val="000000"/>
                <w:sz w:val="18"/>
                <w:szCs w:val="18"/>
                <w:lang w:eastAsia="en-GB"/>
              </w:rPr>
            </w:pPr>
            <w:r>
              <w:rPr>
                <w:rFonts w:eastAsia="Calibri" w:cs="Arial"/>
                <w:sz w:val="18"/>
                <w:szCs w:val="18"/>
                <w:lang w:eastAsia="en-GB"/>
              </w:rPr>
              <w:t>Consumption-based aggregated exposure</w:t>
            </w:r>
            <w:r w:rsidR="002A0553">
              <w:rPr>
                <w:rFonts w:eastAsia="Calibri" w:cs="Arial"/>
                <w:sz w:val="18"/>
                <w:szCs w:val="18"/>
                <w:lang w:eastAsia="en-GB"/>
              </w:rPr>
              <w:t>*</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CAA712" w14:textId="77777777" w:rsidR="00CF59EF" w:rsidRDefault="00612BF5" w:rsidP="007B054E">
            <w:pPr>
              <w:keepNext/>
              <w:keepLines/>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&lt;</w:t>
            </w:r>
            <w:r w:rsidR="00764440">
              <w:rPr>
                <w:rFonts w:eastAsia="Calibri" w:cs="Arial"/>
                <w:color w:val="000000"/>
                <w:sz w:val="18"/>
                <w:szCs w:val="18"/>
                <w:lang w:eastAsia="en-GB"/>
              </w:rPr>
              <w:t>0.00</w:t>
            </w:r>
            <w:r>
              <w:rPr>
                <w:rFonts w:eastAsia="Calibri" w:cs="Arial"/>
                <w:color w:val="000000"/>
                <w:sz w:val="18"/>
                <w:szCs w:val="18"/>
                <w:lang w:eastAsia="en-GB"/>
              </w:rPr>
              <w:t>1</w:t>
            </w:r>
          </w:p>
        </w:tc>
      </w:tr>
    </w:tbl>
    <w:p w14:paraId="3D24659E" w14:textId="77777777" w:rsidR="00B2092D" w:rsidRPr="003C041C" w:rsidRDefault="00B2092D" w:rsidP="007B054E">
      <w:pPr>
        <w:keepNext/>
        <w:keepLines/>
        <w:spacing w:before="60"/>
        <w:rPr>
          <w:rFonts w:eastAsia="Calibri"/>
          <w:sz w:val="18"/>
          <w:szCs w:val="18"/>
          <w:lang w:eastAsia="en-US"/>
        </w:rPr>
      </w:pPr>
      <w:r w:rsidRPr="003C041C">
        <w:rPr>
          <w:rFonts w:eastAsia="Calibri"/>
          <w:sz w:val="18"/>
          <w:szCs w:val="18"/>
          <w:lang w:eastAsia="en-US"/>
        </w:rPr>
        <w:t>*The assessment was based on the worst-case scenario, with the highest local emission</w:t>
      </w:r>
    </w:p>
    <w:p w14:paraId="385B3803" w14:textId="77777777" w:rsidR="00440A6C" w:rsidRDefault="00440A6C">
      <w:pPr>
        <w:keepNext/>
        <w:spacing w:before="60"/>
        <w:rPr>
          <w:rFonts w:ascii="Times New Roman" w:eastAsia="Calibri" w:hAnsi="Times New Roman"/>
          <w:lang w:eastAsia="en-US"/>
        </w:rPr>
      </w:pPr>
    </w:p>
    <w:p w14:paraId="1E80AE39" w14:textId="77777777" w:rsidR="00CF59EF" w:rsidRDefault="000B5D37">
      <w:pPr>
        <w:keepNext/>
        <w:spacing w:before="60"/>
        <w:rPr>
          <w:rFonts w:ascii="Times New Roman" w:eastAsia="Calibri" w:hAnsi="Times New Roman"/>
          <w:i/>
          <w:lang w:eastAsia="en-US"/>
        </w:rPr>
      </w:pPr>
      <w:r>
        <w:rPr>
          <w:rFonts w:eastAsia="Calibri"/>
          <w:u w:val="single"/>
          <w:lang w:eastAsia="en-US"/>
        </w:rPr>
        <w:t>Conclusion:</w:t>
      </w:r>
      <w:r>
        <w:rPr>
          <w:rFonts w:eastAsia="Calibri"/>
          <w:lang w:eastAsia="en-US"/>
        </w:rPr>
        <w:t xml:space="preserve"> The </w:t>
      </w:r>
      <w:r w:rsidR="003C041C" w:rsidRPr="008A006F">
        <w:rPr>
          <w:rFonts w:eastAsia="Calibri"/>
          <w:lang w:eastAsia="en-US"/>
        </w:rPr>
        <w:t>PEC/PNEC</w:t>
      </w:r>
      <w:r>
        <w:rPr>
          <w:rFonts w:eastAsia="Calibri"/>
          <w:lang w:eastAsia="en-US"/>
        </w:rPr>
        <w:t xml:space="preserve"> based on aggregated exposure of all professional and non-professional uses is &lt;1. The risk to terrestrial organisms is acceptable.</w:t>
      </w:r>
    </w:p>
    <w:p w14:paraId="49A88019" w14:textId="77777777" w:rsidR="00CF59EF" w:rsidRDefault="00CF59EF">
      <w:pPr>
        <w:keepNext/>
        <w:spacing w:before="60"/>
        <w:rPr>
          <w:rFonts w:ascii="Times New Roman" w:eastAsia="Calibri" w:hAnsi="Times New Roman"/>
          <w:i/>
          <w:lang w:eastAsia="en-US"/>
        </w:rPr>
      </w:pPr>
    </w:p>
    <w:p w14:paraId="60470C2E" w14:textId="77777777" w:rsidR="00CF59EF" w:rsidRDefault="000B5D37">
      <w:pPr>
        <w:rPr>
          <w:rFonts w:eastAsia="Calibri"/>
          <w:b/>
          <w:i/>
          <w:sz w:val="22"/>
          <w:szCs w:val="22"/>
          <w:lang w:eastAsia="en-US"/>
        </w:rPr>
      </w:pPr>
      <w:bookmarkStart w:id="1613" w:name="_Toc403472807"/>
      <w:bookmarkStart w:id="1614" w:name="_Toc389729123"/>
      <w:bookmarkEnd w:id="1613"/>
      <w:bookmarkEnd w:id="1614"/>
      <w:r>
        <w:rPr>
          <w:rFonts w:eastAsia="Calibri"/>
          <w:b/>
          <w:i/>
          <w:sz w:val="22"/>
          <w:szCs w:val="22"/>
          <w:lang w:eastAsia="en-US"/>
        </w:rPr>
        <w:lastRenderedPageBreak/>
        <w:t>Groundwater</w:t>
      </w:r>
    </w:p>
    <w:p w14:paraId="20AB3D65" w14:textId="77777777" w:rsidR="00CF59EF" w:rsidRDefault="00CF59EF">
      <w:pPr>
        <w:spacing w:line="260" w:lineRule="atLeast"/>
        <w:rPr>
          <w:rFonts w:eastAsia="Calibri"/>
          <w:lang w:eastAsia="en-US"/>
        </w:rPr>
      </w:pPr>
    </w:p>
    <w:p w14:paraId="645F08C2" w14:textId="77777777" w:rsidR="00CF59EF" w:rsidRDefault="000B5D37">
      <w:pPr>
        <w:spacing w:line="260" w:lineRule="atLeast"/>
        <w:rPr>
          <w:rFonts w:eastAsia="Calibri"/>
          <w:lang w:eastAsia="en-US"/>
        </w:rPr>
      </w:pPr>
      <w:r w:rsidRPr="00D52D96">
        <w:rPr>
          <w:rFonts w:eastAsia="Calibri"/>
          <w:lang w:eastAsia="en-US"/>
        </w:rPr>
        <w:t xml:space="preserve">The local PEC for groundwater is </w:t>
      </w:r>
      <w:r w:rsidR="00357C91">
        <w:rPr>
          <w:rFonts w:eastAsia="Calibri"/>
          <w:lang w:eastAsia="en-US"/>
        </w:rPr>
        <w:t>0.21</w:t>
      </w:r>
      <w:r w:rsidRPr="00D52D96">
        <w:rPr>
          <w:rFonts w:eastAsia="Calibri"/>
          <w:lang w:eastAsia="en-US"/>
        </w:rPr>
        <w:t xml:space="preserve"> µg/L. This i</w:t>
      </w:r>
      <w:r w:rsidR="003C041C">
        <w:rPr>
          <w:rFonts w:eastAsia="Calibri"/>
          <w:lang w:eastAsia="en-US"/>
        </w:rPr>
        <w:t xml:space="preserve">s </w:t>
      </w:r>
      <w:r w:rsidR="00357C91">
        <w:rPr>
          <w:rFonts w:eastAsia="Calibri"/>
          <w:lang w:eastAsia="en-US"/>
        </w:rPr>
        <w:t xml:space="preserve">above </w:t>
      </w:r>
      <w:r w:rsidR="003C041C">
        <w:rPr>
          <w:rFonts w:eastAsia="Calibri"/>
          <w:lang w:eastAsia="en-US"/>
        </w:rPr>
        <w:t>the cut-off of 0.1 µg/L</w:t>
      </w:r>
      <w:r w:rsidRPr="00D52D96">
        <w:rPr>
          <w:rFonts w:eastAsia="Calibri"/>
          <w:lang w:eastAsia="en-US"/>
        </w:rPr>
        <w:t xml:space="preserve"> and therefore </w:t>
      </w:r>
      <w:proofErr w:type="spellStart"/>
      <w:r w:rsidR="00357C91">
        <w:rPr>
          <w:rFonts w:eastAsia="Calibri"/>
          <w:lang w:eastAsia="en-US"/>
        </w:rPr>
        <w:t>a</w:t>
      </w:r>
      <w:r w:rsidRPr="00D52D96">
        <w:rPr>
          <w:rFonts w:eastAsia="Calibri"/>
          <w:lang w:eastAsia="en-US"/>
        </w:rPr>
        <w:t>further</w:t>
      </w:r>
      <w:proofErr w:type="spellEnd"/>
      <w:r w:rsidRPr="00D52D96">
        <w:rPr>
          <w:rFonts w:eastAsia="Calibri"/>
          <w:lang w:eastAsia="en-US"/>
        </w:rPr>
        <w:t xml:space="preserve"> assessment is needed</w:t>
      </w:r>
      <w:r>
        <w:rPr>
          <w:rFonts w:eastAsia="Calibri"/>
          <w:lang w:eastAsia="en-US"/>
        </w:rPr>
        <w:t>.</w:t>
      </w:r>
      <w:r w:rsidR="00357C91">
        <w:rPr>
          <w:rFonts w:eastAsia="Calibri"/>
          <w:lang w:eastAsia="en-US"/>
        </w:rPr>
        <w:t xml:space="preserve"> Recently it was agreed at WG that only a worst case Pearl calculation is needed. These calculations were performed </w:t>
      </w:r>
      <w:r w:rsidR="00B314AA">
        <w:rPr>
          <w:rFonts w:eastAsia="Calibri"/>
          <w:lang w:eastAsia="en-US"/>
        </w:rPr>
        <w:t xml:space="preserve">in different seasons </w:t>
      </w:r>
      <w:r w:rsidR="00357C91">
        <w:rPr>
          <w:rFonts w:eastAsia="Calibri"/>
          <w:lang w:eastAsia="en-US"/>
        </w:rPr>
        <w:t xml:space="preserve">for the grassland and arable land (winter cereals) on </w:t>
      </w:r>
      <w:proofErr w:type="spellStart"/>
      <w:r w:rsidR="00357C91">
        <w:rPr>
          <w:rFonts w:eastAsia="Calibri"/>
          <w:lang w:eastAsia="en-US"/>
        </w:rPr>
        <w:t>Jokionen</w:t>
      </w:r>
      <w:proofErr w:type="spellEnd"/>
      <w:r w:rsidR="00357C91">
        <w:rPr>
          <w:rFonts w:eastAsia="Calibri"/>
          <w:lang w:eastAsia="en-US"/>
        </w:rPr>
        <w:t xml:space="preserve"> soil, which is the most sensitive soil </w:t>
      </w:r>
      <w:r w:rsidR="00B314AA">
        <w:rPr>
          <w:rFonts w:eastAsia="Calibri"/>
          <w:lang w:eastAsia="en-US"/>
        </w:rPr>
        <w:t xml:space="preserve">for </w:t>
      </w:r>
      <w:r w:rsidR="00357C91">
        <w:rPr>
          <w:rFonts w:eastAsia="Calibri"/>
          <w:lang w:eastAsia="en-US"/>
        </w:rPr>
        <w:t>leaching</w:t>
      </w:r>
      <w:r w:rsidR="00576AC1">
        <w:rPr>
          <w:rFonts w:eastAsia="Calibri"/>
          <w:lang w:eastAsia="en-US"/>
        </w:rPr>
        <w:t>. F</w:t>
      </w:r>
      <w:r w:rsidR="005552F9">
        <w:rPr>
          <w:rFonts w:eastAsia="Calibri"/>
          <w:lang w:eastAsia="en-US"/>
        </w:rPr>
        <w:t>or input parameters please refer to the table with input parameters in Section 2.2.8.2</w:t>
      </w:r>
      <w:r w:rsidR="00576AC1">
        <w:rPr>
          <w:rFonts w:eastAsia="Calibri"/>
          <w:lang w:eastAsia="en-US"/>
        </w:rPr>
        <w:t xml:space="preserve"> and the used dosage in PEARL was as 1.43E-07 </w:t>
      </w:r>
      <w:r w:rsidR="00B42136">
        <w:rPr>
          <w:rFonts w:eastAsia="Calibri"/>
          <w:lang w:eastAsia="en-US"/>
        </w:rPr>
        <w:t xml:space="preserve">kg/ha/y </w:t>
      </w:r>
      <w:r w:rsidR="00576AC1">
        <w:rPr>
          <w:rFonts w:eastAsia="Calibri"/>
          <w:lang w:eastAsia="en-US"/>
        </w:rPr>
        <w:t>for both soil types</w:t>
      </w:r>
      <w:r w:rsidR="005552F9">
        <w:rPr>
          <w:rFonts w:eastAsia="Calibri"/>
          <w:lang w:eastAsia="en-US"/>
        </w:rPr>
        <w:t xml:space="preserve">. </w:t>
      </w:r>
      <w:r w:rsidR="00B314AA">
        <w:rPr>
          <w:rFonts w:eastAsia="Calibri"/>
          <w:lang w:eastAsia="en-US"/>
        </w:rPr>
        <w:t>The results</w:t>
      </w:r>
      <w:r w:rsidR="00357C91">
        <w:rPr>
          <w:rFonts w:eastAsia="Calibri"/>
          <w:lang w:eastAsia="en-US"/>
        </w:rPr>
        <w:t xml:space="preserve"> </w:t>
      </w:r>
      <w:r w:rsidR="00B314AA">
        <w:rPr>
          <w:rFonts w:eastAsia="Calibri"/>
          <w:lang w:eastAsia="en-US"/>
        </w:rPr>
        <w:t>showed that all PEC groundwater values</w:t>
      </w:r>
      <w:r w:rsidR="00357C91">
        <w:rPr>
          <w:rFonts w:eastAsia="Calibri"/>
          <w:lang w:eastAsia="en-US"/>
        </w:rPr>
        <w:t xml:space="preserve"> are &lt;0.0001 µg/L</w:t>
      </w:r>
      <w:r w:rsidR="00B314AA">
        <w:rPr>
          <w:rFonts w:eastAsia="Calibri"/>
          <w:lang w:eastAsia="en-US"/>
        </w:rPr>
        <w:t>, below the cut-off of 0.1 µg/L</w:t>
      </w:r>
      <w:r w:rsidR="00357C91">
        <w:rPr>
          <w:rFonts w:eastAsia="Calibri"/>
          <w:lang w:eastAsia="en-US"/>
        </w:rPr>
        <w:t xml:space="preserve">. </w:t>
      </w:r>
      <w:r w:rsidR="00B314AA">
        <w:rPr>
          <w:rFonts w:eastAsia="Calibri"/>
          <w:lang w:eastAsia="en-US"/>
        </w:rPr>
        <w:t>Therefore emission to groundwater is negligible.</w:t>
      </w:r>
    </w:p>
    <w:p w14:paraId="2CDFD5BE" w14:textId="77777777" w:rsidR="00CF59EF" w:rsidRDefault="00CF59EF">
      <w:pPr>
        <w:rPr>
          <w:rFonts w:eastAsia="Calibri"/>
          <w:b/>
          <w:i/>
          <w:sz w:val="22"/>
          <w:szCs w:val="22"/>
          <w:lang w:eastAsia="en-US"/>
        </w:rPr>
      </w:pPr>
      <w:bookmarkStart w:id="1615" w:name="_Toc403472808"/>
      <w:bookmarkStart w:id="1616" w:name="_Toc389729124"/>
      <w:bookmarkStart w:id="1617" w:name="_Toc377651054"/>
      <w:bookmarkEnd w:id="1615"/>
      <w:bookmarkEnd w:id="1616"/>
      <w:bookmarkEnd w:id="1617"/>
    </w:p>
    <w:p w14:paraId="221796A5" w14:textId="77777777" w:rsidR="00CF59EF" w:rsidRDefault="000B5D37">
      <w:pPr>
        <w:rPr>
          <w:rFonts w:eastAsia="Calibri"/>
          <w:b/>
          <w:i/>
          <w:sz w:val="22"/>
          <w:szCs w:val="22"/>
          <w:lang w:eastAsia="en-US"/>
        </w:rPr>
      </w:pPr>
      <w:r>
        <w:rPr>
          <w:rFonts w:eastAsia="Calibri"/>
          <w:b/>
          <w:i/>
          <w:sz w:val="22"/>
          <w:szCs w:val="22"/>
          <w:lang w:eastAsia="en-US"/>
        </w:rPr>
        <w:t>Primary and secondary poisoning</w:t>
      </w:r>
    </w:p>
    <w:p w14:paraId="7DFAE964" w14:textId="77777777" w:rsidR="00CF59EF" w:rsidRDefault="00CF59EF">
      <w:pPr>
        <w:rPr>
          <w:rFonts w:eastAsia="Calibri"/>
          <w:u w:val="single"/>
          <w:lang w:eastAsia="en-US"/>
        </w:rPr>
      </w:pPr>
    </w:p>
    <w:p w14:paraId="1DD89D0A" w14:textId="77777777" w:rsidR="00CF59EF" w:rsidRDefault="000B5D37">
      <w:pPr>
        <w:rPr>
          <w:rFonts w:eastAsia="Calibri"/>
          <w:u w:val="single"/>
          <w:lang w:eastAsia="en-US"/>
        </w:rPr>
      </w:pPr>
      <w:r>
        <w:rPr>
          <w:rFonts w:eastAsia="Calibri"/>
          <w:u w:val="single"/>
          <w:lang w:eastAsia="en-US"/>
        </w:rPr>
        <w:t>Primary poisoning</w:t>
      </w:r>
    </w:p>
    <w:p w14:paraId="1A0D37EA" w14:textId="77777777" w:rsidR="00CF59EF" w:rsidRDefault="00CF59EF">
      <w:pPr>
        <w:rPr>
          <w:lang w:eastAsia="en-US"/>
        </w:rPr>
      </w:pPr>
    </w:p>
    <w:p w14:paraId="0826D717" w14:textId="77777777" w:rsidR="00CF59EF" w:rsidRDefault="000B5D37">
      <w:pPr>
        <w:rPr>
          <w:rFonts w:eastAsia="Calibri"/>
          <w:lang w:eastAsia="en-US"/>
        </w:rPr>
      </w:pPr>
      <w:r>
        <w:rPr>
          <w:rFonts w:eastAsia="Calibri"/>
          <w:lang w:eastAsia="en-US"/>
        </w:rPr>
        <w:t>Not relevant (see justification above).</w:t>
      </w:r>
    </w:p>
    <w:p w14:paraId="551640FB" w14:textId="77777777" w:rsidR="00CF59EF" w:rsidRDefault="00CF59EF">
      <w:pPr>
        <w:rPr>
          <w:lang w:eastAsia="en-US"/>
        </w:rPr>
      </w:pPr>
    </w:p>
    <w:p w14:paraId="51C7BCCB" w14:textId="77777777" w:rsidR="00CF59EF" w:rsidRDefault="000B5D37">
      <w:pPr>
        <w:keepNext/>
        <w:rPr>
          <w:rFonts w:eastAsia="Calibri"/>
          <w:u w:val="single"/>
          <w:lang w:val="en-US" w:eastAsia="en-US"/>
        </w:rPr>
      </w:pPr>
      <w:r>
        <w:rPr>
          <w:rFonts w:eastAsia="Calibri"/>
          <w:u w:val="single"/>
          <w:lang w:val="en-US" w:eastAsia="en-US"/>
        </w:rPr>
        <w:t>Secondary poisoning</w:t>
      </w:r>
    </w:p>
    <w:p w14:paraId="76A288E4" w14:textId="77777777" w:rsidR="00CF59EF" w:rsidRDefault="00CF59EF">
      <w:pPr>
        <w:rPr>
          <w:lang w:eastAsia="en-US"/>
        </w:rPr>
      </w:pPr>
    </w:p>
    <w:p w14:paraId="546A882A" w14:textId="77777777" w:rsidR="00CF59EF" w:rsidRDefault="000B5D37">
      <w:pPr>
        <w:rPr>
          <w:rFonts w:eastAsia="Calibri"/>
          <w:lang w:eastAsia="en-US"/>
        </w:rPr>
      </w:pPr>
      <w:r>
        <w:rPr>
          <w:rFonts w:eastAsia="Calibri"/>
          <w:lang w:eastAsia="en-US"/>
        </w:rPr>
        <w:t>Not relevant (see justification above).</w:t>
      </w:r>
    </w:p>
    <w:p w14:paraId="15F69E7C" w14:textId="77777777" w:rsidR="00CF59EF" w:rsidRDefault="00CF59EF">
      <w:pPr>
        <w:rPr>
          <w:rFonts w:ascii="Times New Roman" w:eastAsia="Calibri" w:hAnsi="Times New Roman"/>
          <w:lang w:eastAsia="en-US"/>
        </w:rPr>
      </w:pPr>
    </w:p>
    <w:p w14:paraId="312AABC0" w14:textId="77777777" w:rsidR="00CF59EF" w:rsidRDefault="00CF59EF">
      <w:pPr>
        <w:rPr>
          <w:rFonts w:eastAsia="Calibri"/>
          <w:lang w:eastAsia="en-US"/>
        </w:rPr>
      </w:pPr>
    </w:p>
    <w:p w14:paraId="4D0BC123" w14:textId="77777777" w:rsidR="00CF59EF" w:rsidRDefault="000B5D37">
      <w:pPr>
        <w:rPr>
          <w:rFonts w:eastAsia="Calibri"/>
          <w:b/>
          <w:i/>
          <w:sz w:val="22"/>
          <w:szCs w:val="22"/>
          <w:lang w:eastAsia="en-US"/>
        </w:rPr>
      </w:pPr>
      <w:r>
        <w:rPr>
          <w:rFonts w:eastAsia="Calibri"/>
          <w:b/>
          <w:i/>
          <w:sz w:val="22"/>
          <w:szCs w:val="22"/>
          <w:lang w:eastAsia="en-US"/>
        </w:rPr>
        <w:t>Mixture toxicity</w:t>
      </w:r>
    </w:p>
    <w:p w14:paraId="56FD3421" w14:textId="77777777" w:rsidR="00CF59EF" w:rsidRDefault="00CF59EF">
      <w:pPr>
        <w:rPr>
          <w:rFonts w:eastAsia="Calibri"/>
          <w:b/>
          <w:i/>
          <w:sz w:val="22"/>
          <w:szCs w:val="22"/>
          <w:lang w:eastAsia="en-US"/>
        </w:rPr>
      </w:pPr>
    </w:p>
    <w:p w14:paraId="4AC5BCB7" w14:textId="77777777" w:rsidR="00CF59EF" w:rsidRDefault="000B5D37">
      <w:pPr>
        <w:rPr>
          <w:rFonts w:eastAsia="Calibri"/>
          <w:b/>
          <w:i/>
          <w:sz w:val="22"/>
          <w:szCs w:val="22"/>
          <w:lang w:eastAsia="en-US"/>
        </w:rPr>
      </w:pPr>
      <w:r>
        <w:rPr>
          <w:rFonts w:eastAsia="Calibri"/>
          <w:iCs/>
          <w:lang w:eastAsia="en-US"/>
        </w:rPr>
        <w:t xml:space="preserve">Not applicable, the product </w:t>
      </w:r>
      <w:r w:rsidR="00A12FE3">
        <w:rPr>
          <w:rFonts w:eastAsia="Calibri"/>
          <w:iCs/>
          <w:lang w:eastAsia="en-US"/>
        </w:rPr>
        <w:t xml:space="preserve">contains one active substance and </w:t>
      </w:r>
      <w:r>
        <w:rPr>
          <w:rFonts w:eastAsia="Calibri"/>
          <w:iCs/>
          <w:lang w:eastAsia="en-US"/>
        </w:rPr>
        <w:t>does not contain substances of concern.</w:t>
      </w:r>
    </w:p>
    <w:p w14:paraId="1EE59372" w14:textId="77777777" w:rsidR="00CF59EF" w:rsidRDefault="00CF59EF">
      <w:pPr>
        <w:rPr>
          <w:rFonts w:eastAsia="Calibri"/>
          <w:b/>
          <w:i/>
          <w:sz w:val="22"/>
          <w:szCs w:val="22"/>
          <w:lang w:eastAsia="en-US"/>
        </w:rPr>
      </w:pPr>
    </w:p>
    <w:p w14:paraId="68564385" w14:textId="77777777" w:rsidR="00CF59EF" w:rsidRDefault="000B5D37">
      <w:pPr>
        <w:rPr>
          <w:rFonts w:eastAsia="Calibri"/>
          <w:sz w:val="22"/>
          <w:szCs w:val="22"/>
          <w:lang w:eastAsia="en-US"/>
        </w:rPr>
      </w:pPr>
      <w:r>
        <w:rPr>
          <w:rFonts w:eastAsia="Calibri"/>
          <w:b/>
          <w:i/>
          <w:sz w:val="22"/>
          <w:szCs w:val="22"/>
          <w:lang w:eastAsia="en-US"/>
        </w:rPr>
        <w:t xml:space="preserve">Aggregated exposure (combined for relevant </w:t>
      </w:r>
      <w:r w:rsidR="008A006F">
        <w:rPr>
          <w:rFonts w:eastAsia="Calibri"/>
          <w:b/>
          <w:i/>
          <w:sz w:val="22"/>
          <w:szCs w:val="22"/>
          <w:lang w:eastAsia="en-US"/>
        </w:rPr>
        <w:t>emission</w:t>
      </w:r>
      <w:r>
        <w:rPr>
          <w:rFonts w:eastAsia="Calibri"/>
          <w:b/>
          <w:i/>
          <w:sz w:val="22"/>
          <w:szCs w:val="22"/>
          <w:lang w:eastAsia="en-US"/>
        </w:rPr>
        <w:t xml:space="preserve"> sources)</w:t>
      </w:r>
    </w:p>
    <w:p w14:paraId="50692D9E" w14:textId="77777777" w:rsidR="00CF59EF" w:rsidRDefault="00CF59EF">
      <w:pPr>
        <w:rPr>
          <w:rFonts w:eastAsia="Calibri"/>
          <w:lang w:eastAsia="en-US"/>
        </w:rPr>
      </w:pPr>
    </w:p>
    <w:p w14:paraId="6E07DA3E" w14:textId="77777777" w:rsidR="00CF59EF" w:rsidRDefault="000B5D37">
      <w:pPr>
        <w:rPr>
          <w:rFonts w:eastAsia="Calibri"/>
          <w:lang w:eastAsia="en-US"/>
        </w:rPr>
      </w:pPr>
      <w:r>
        <w:rPr>
          <w:rFonts w:eastAsia="Calibri"/>
          <w:lang w:eastAsia="en-US"/>
        </w:rPr>
        <w:t xml:space="preserve">Aggregated exposure is relevant based on the different professional and non-professional uses being wide dispersive uses with possible overlap in time and space. </w:t>
      </w:r>
      <w:r w:rsidR="009E259C">
        <w:rPr>
          <w:rFonts w:eastAsia="Calibri"/>
          <w:lang w:eastAsia="en-US"/>
        </w:rPr>
        <w:t>Following</w:t>
      </w:r>
      <w:r>
        <w:rPr>
          <w:rFonts w:eastAsia="Calibri"/>
          <w:lang w:eastAsia="en-US"/>
        </w:rPr>
        <w:t xml:space="preserve"> ESD PT 6 (UBA, 2018), the aggregated use of all </w:t>
      </w:r>
      <w:r w:rsidR="00612BF5">
        <w:rPr>
          <w:rFonts w:eastAsia="Calibri"/>
          <w:lang w:eastAsia="en-US"/>
        </w:rPr>
        <w:t>five</w:t>
      </w:r>
      <w:r>
        <w:rPr>
          <w:rFonts w:eastAsia="Calibri"/>
          <w:lang w:eastAsia="en-US"/>
        </w:rPr>
        <w:t xml:space="preserve"> consumption-based sub-scenarios was assessed as a worst-case approach.</w:t>
      </w:r>
    </w:p>
    <w:p w14:paraId="3E4C602E" w14:textId="77777777" w:rsidR="00CF59EF" w:rsidRDefault="00CF59EF">
      <w:pPr>
        <w:spacing w:line="260" w:lineRule="atLeast"/>
        <w:rPr>
          <w:rFonts w:eastAsia="Calibri"/>
          <w:lang w:eastAsia="en-US"/>
        </w:rPr>
      </w:pPr>
    </w:p>
    <w:p w14:paraId="13128EAB" w14:textId="77777777" w:rsidR="00CF59EF" w:rsidRDefault="00CF59EF">
      <w:pPr>
        <w:spacing w:line="260" w:lineRule="atLeast"/>
        <w:rPr>
          <w:rFonts w:eastAsia="Calibri"/>
          <w:lang w:eastAsia="en-US"/>
        </w:rPr>
      </w:pPr>
    </w:p>
    <w:p w14:paraId="49F7F450" w14:textId="77777777" w:rsidR="00CF59EF" w:rsidRPr="002002AB" w:rsidRDefault="000B5D37" w:rsidP="006D35BB">
      <w:pPr>
        <w:pStyle w:val="Heading2"/>
        <w:numPr>
          <w:ilvl w:val="2"/>
          <w:numId w:val="2"/>
        </w:numPr>
        <w:ind w:left="720"/>
      </w:pPr>
      <w:bookmarkStart w:id="1618" w:name="_Toc389729171"/>
      <w:bookmarkStart w:id="1619" w:name="_Toc389728813"/>
      <w:bookmarkStart w:id="1620" w:name="_Toc389728453"/>
      <w:bookmarkStart w:id="1621" w:name="_Toc389728094"/>
      <w:bookmarkStart w:id="1622" w:name="_Toc389727735"/>
      <w:bookmarkStart w:id="1623" w:name="_Toc389727377"/>
      <w:bookmarkStart w:id="1624" w:name="_Toc389726325"/>
      <w:bookmarkStart w:id="1625" w:name="_Toc389725329"/>
      <w:bookmarkStart w:id="1626" w:name="_Toc388285402"/>
      <w:bookmarkStart w:id="1627" w:name="_Toc389729170"/>
      <w:bookmarkStart w:id="1628" w:name="_Toc389728812"/>
      <w:bookmarkStart w:id="1629" w:name="_Toc389728452"/>
      <w:bookmarkStart w:id="1630" w:name="_Toc389728093"/>
      <w:bookmarkStart w:id="1631" w:name="_Toc389727734"/>
      <w:bookmarkStart w:id="1632" w:name="_Toc389727376"/>
      <w:bookmarkStart w:id="1633" w:name="_Toc389726324"/>
      <w:bookmarkStart w:id="1634" w:name="_Toc389725328"/>
      <w:bookmarkStart w:id="1635" w:name="_Toc388285401"/>
      <w:bookmarkStart w:id="1636" w:name="_Toc389729169"/>
      <w:bookmarkStart w:id="1637" w:name="_Toc389728811"/>
      <w:bookmarkStart w:id="1638" w:name="_Toc389728451"/>
      <w:bookmarkStart w:id="1639" w:name="_Toc389728092"/>
      <w:bookmarkStart w:id="1640" w:name="_Toc389727733"/>
      <w:bookmarkStart w:id="1641" w:name="_Toc389727375"/>
      <w:bookmarkStart w:id="1642" w:name="_Toc389726323"/>
      <w:bookmarkStart w:id="1643" w:name="_Toc388285400"/>
      <w:bookmarkStart w:id="1644" w:name="_Toc398110150"/>
      <w:bookmarkStart w:id="1645" w:name="_Toc398109964"/>
      <w:bookmarkStart w:id="1646" w:name="_Toc389808018"/>
      <w:bookmarkStart w:id="1647" w:name="_Toc389807652"/>
      <w:bookmarkStart w:id="1648" w:name="_Toc389807396"/>
      <w:bookmarkStart w:id="1649" w:name="_Toc389750214"/>
      <w:bookmarkStart w:id="1650" w:name="_Toc389748799"/>
      <w:bookmarkStart w:id="1651" w:name="_Toc389729168"/>
      <w:bookmarkStart w:id="1652" w:name="_Toc389728810"/>
      <w:bookmarkStart w:id="1653" w:name="_Toc389728450"/>
      <w:bookmarkStart w:id="1654" w:name="_Toc389728091"/>
      <w:bookmarkStart w:id="1655" w:name="_Toc389727732"/>
      <w:bookmarkStart w:id="1656" w:name="_Toc389727374"/>
      <w:bookmarkStart w:id="1657" w:name="_Toc389726322"/>
      <w:bookmarkStart w:id="1658" w:name="_Toc389725326"/>
      <w:bookmarkStart w:id="1659" w:name="_Toc388285399"/>
      <w:bookmarkStart w:id="1660" w:name="_Toc398110148"/>
      <w:bookmarkStart w:id="1661" w:name="_Toc398109962"/>
      <w:bookmarkStart w:id="1662" w:name="_Toc389808016"/>
      <w:bookmarkStart w:id="1663" w:name="_Toc389807650"/>
      <w:bookmarkStart w:id="1664" w:name="_Toc389807394"/>
      <w:bookmarkStart w:id="1665" w:name="_Toc389750212"/>
      <w:bookmarkStart w:id="1666" w:name="_Toc389748797"/>
      <w:bookmarkStart w:id="1667" w:name="_Toc389729166"/>
      <w:bookmarkStart w:id="1668" w:name="_Toc389728808"/>
      <w:bookmarkStart w:id="1669" w:name="_Toc389728448"/>
      <w:bookmarkStart w:id="1670" w:name="_Toc389728089"/>
      <w:bookmarkStart w:id="1671" w:name="_Toc389727730"/>
      <w:bookmarkStart w:id="1672" w:name="_Toc389727372"/>
      <w:bookmarkStart w:id="1673" w:name="_Toc389726320"/>
      <w:bookmarkStart w:id="1674" w:name="_Toc389725324"/>
      <w:bookmarkStart w:id="1675" w:name="_Toc388285397"/>
      <w:bookmarkStart w:id="1676" w:name="_Toc389729165"/>
      <w:bookmarkStart w:id="1677" w:name="_Toc389728807"/>
      <w:bookmarkStart w:id="1678" w:name="_Toc389728447"/>
      <w:bookmarkStart w:id="1679" w:name="_Toc389728088"/>
      <w:bookmarkStart w:id="1680" w:name="_Toc389727729"/>
      <w:bookmarkStart w:id="1681" w:name="_Toc389727371"/>
      <w:bookmarkStart w:id="1682" w:name="_Toc389726319"/>
      <w:bookmarkStart w:id="1683" w:name="_Toc388285396"/>
      <w:bookmarkStart w:id="1684" w:name="_Toc398110141"/>
      <w:bookmarkStart w:id="1685" w:name="_Toc398109955"/>
      <w:bookmarkStart w:id="1686" w:name="_Toc389808009"/>
      <w:bookmarkStart w:id="1687" w:name="_Toc389807643"/>
      <w:bookmarkStart w:id="1688" w:name="_Toc389807387"/>
      <w:bookmarkStart w:id="1689" w:name="_Toc389750205"/>
      <w:bookmarkStart w:id="1690" w:name="_Toc389748790"/>
      <w:bookmarkStart w:id="1691" w:name="_Toc389729158"/>
      <w:bookmarkStart w:id="1692" w:name="_Toc389728800"/>
      <w:bookmarkStart w:id="1693" w:name="_Toc389728440"/>
      <w:bookmarkStart w:id="1694" w:name="_Toc389728081"/>
      <w:bookmarkStart w:id="1695" w:name="_Toc389727722"/>
      <w:bookmarkStart w:id="1696" w:name="_Toc389727364"/>
      <w:bookmarkStart w:id="1697" w:name="_Toc389726312"/>
      <w:bookmarkStart w:id="1698" w:name="_Toc389725317"/>
      <w:bookmarkStart w:id="1699" w:name="_Toc388285389"/>
      <w:bookmarkStart w:id="1700" w:name="_Toc398110135"/>
      <w:bookmarkStart w:id="1701" w:name="_Toc398109949"/>
      <w:bookmarkStart w:id="1702" w:name="_Toc389808003"/>
      <w:bookmarkStart w:id="1703" w:name="_Toc389807637"/>
      <w:bookmarkStart w:id="1704" w:name="_Toc389807381"/>
      <w:bookmarkStart w:id="1705" w:name="_Toc389750199"/>
      <w:bookmarkStart w:id="1706" w:name="_Toc389748784"/>
      <w:bookmarkStart w:id="1707" w:name="_Toc389729151"/>
      <w:bookmarkStart w:id="1708" w:name="_Toc389728793"/>
      <w:bookmarkStart w:id="1709" w:name="_Toc389728433"/>
      <w:bookmarkStart w:id="1710" w:name="_Toc389728074"/>
      <w:bookmarkStart w:id="1711" w:name="_Toc389727715"/>
      <w:bookmarkStart w:id="1712" w:name="_Toc389727357"/>
      <w:bookmarkStart w:id="1713" w:name="_Toc389726305"/>
      <w:bookmarkStart w:id="1714" w:name="_Toc389725311"/>
      <w:bookmarkStart w:id="1715" w:name="_Toc388285382"/>
      <w:bookmarkStart w:id="1716" w:name="_Toc398110129"/>
      <w:bookmarkStart w:id="1717" w:name="_Toc398109943"/>
      <w:bookmarkStart w:id="1718" w:name="_Toc389807997"/>
      <w:bookmarkStart w:id="1719" w:name="_Toc389807631"/>
      <w:bookmarkStart w:id="1720" w:name="_Toc389807375"/>
      <w:bookmarkStart w:id="1721" w:name="_Toc389750193"/>
      <w:bookmarkStart w:id="1722" w:name="_Toc389748778"/>
      <w:bookmarkStart w:id="1723" w:name="_Toc389729144"/>
      <w:bookmarkStart w:id="1724" w:name="_Toc389728786"/>
      <w:bookmarkStart w:id="1725" w:name="_Toc389728426"/>
      <w:bookmarkStart w:id="1726" w:name="_Toc389728067"/>
      <w:bookmarkStart w:id="1727" w:name="_Toc389727708"/>
      <w:bookmarkStart w:id="1728" w:name="_Toc389727350"/>
      <w:bookmarkStart w:id="1729" w:name="_Toc389726298"/>
      <w:bookmarkStart w:id="1730" w:name="_Toc389725305"/>
      <w:bookmarkStart w:id="1731" w:name="_Toc388285375"/>
      <w:bookmarkStart w:id="1732" w:name="_Toc398110127"/>
      <w:bookmarkStart w:id="1733" w:name="_Toc398109941"/>
      <w:bookmarkStart w:id="1734" w:name="_Toc389807995"/>
      <w:bookmarkStart w:id="1735" w:name="_Toc389807629"/>
      <w:bookmarkStart w:id="1736" w:name="_Toc389807373"/>
      <w:bookmarkStart w:id="1737" w:name="_Toc389750191"/>
      <w:bookmarkStart w:id="1738" w:name="_Toc389748776"/>
      <w:bookmarkStart w:id="1739" w:name="_Toc389729141"/>
      <w:bookmarkStart w:id="1740" w:name="_Toc389728783"/>
      <w:bookmarkStart w:id="1741" w:name="_Toc389728423"/>
      <w:bookmarkStart w:id="1742" w:name="_Toc389728064"/>
      <w:bookmarkStart w:id="1743" w:name="_Toc389727705"/>
      <w:bookmarkStart w:id="1744" w:name="_Toc389727347"/>
      <w:bookmarkStart w:id="1745" w:name="_Toc389726295"/>
      <w:bookmarkStart w:id="1746" w:name="_Toc389725303"/>
      <w:bookmarkStart w:id="1747" w:name="_Toc388285372"/>
      <w:bookmarkStart w:id="1748" w:name="_Toc398110124"/>
      <w:bookmarkStart w:id="1749" w:name="_Toc398109938"/>
      <w:bookmarkStart w:id="1750" w:name="_Toc389807992"/>
      <w:bookmarkStart w:id="1751" w:name="_Toc389807626"/>
      <w:bookmarkStart w:id="1752" w:name="_Toc389807370"/>
      <w:bookmarkStart w:id="1753" w:name="_Toc389750188"/>
      <w:bookmarkStart w:id="1754" w:name="_Toc389748773"/>
      <w:bookmarkStart w:id="1755" w:name="_Toc389729138"/>
      <w:bookmarkStart w:id="1756" w:name="_Toc389728780"/>
      <w:bookmarkStart w:id="1757" w:name="_Toc389728420"/>
      <w:bookmarkStart w:id="1758" w:name="_Toc389728061"/>
      <w:bookmarkStart w:id="1759" w:name="_Toc389727702"/>
      <w:bookmarkStart w:id="1760" w:name="_Toc389727344"/>
      <w:bookmarkStart w:id="1761" w:name="_Toc389726292"/>
      <w:bookmarkStart w:id="1762" w:name="_Toc389725300"/>
      <w:bookmarkStart w:id="1763" w:name="_Toc388285369"/>
      <w:bookmarkStart w:id="1764" w:name="_Toc398110122"/>
      <w:bookmarkStart w:id="1765" w:name="_Toc398109936"/>
      <w:bookmarkStart w:id="1766" w:name="_Toc389807990"/>
      <w:bookmarkStart w:id="1767" w:name="_Toc389807624"/>
      <w:bookmarkStart w:id="1768" w:name="_Toc389807368"/>
      <w:bookmarkStart w:id="1769" w:name="_Toc389750186"/>
      <w:bookmarkStart w:id="1770" w:name="_Toc389748771"/>
      <w:bookmarkStart w:id="1771" w:name="_Toc389729136"/>
      <w:bookmarkStart w:id="1772" w:name="_Toc389728778"/>
      <w:bookmarkStart w:id="1773" w:name="_Toc389728418"/>
      <w:bookmarkStart w:id="1774" w:name="_Toc389728059"/>
      <w:bookmarkStart w:id="1775" w:name="_Toc389727700"/>
      <w:bookmarkStart w:id="1776" w:name="_Toc389727342"/>
      <w:bookmarkStart w:id="1777" w:name="_Toc389726290"/>
      <w:bookmarkStart w:id="1778" w:name="_Toc389725298"/>
      <w:bookmarkStart w:id="1779" w:name="_Toc388285367"/>
      <w:bookmarkStart w:id="1780" w:name="_Toc389729134"/>
      <w:bookmarkStart w:id="1781" w:name="_Toc389728776"/>
      <w:bookmarkStart w:id="1782" w:name="_Toc389728416"/>
      <w:bookmarkStart w:id="1783" w:name="_Toc389728057"/>
      <w:bookmarkStart w:id="1784" w:name="_Toc389727698"/>
      <w:bookmarkStart w:id="1785" w:name="_Toc389727340"/>
      <w:bookmarkStart w:id="1786" w:name="_Toc389726288"/>
      <w:bookmarkStart w:id="1787" w:name="_Toc389725296"/>
      <w:bookmarkStart w:id="1788" w:name="_Toc388285365"/>
      <w:bookmarkStart w:id="1789" w:name="_Toc389729133"/>
      <w:bookmarkStart w:id="1790" w:name="_Toc389728775"/>
      <w:bookmarkStart w:id="1791" w:name="_Toc389728415"/>
      <w:bookmarkStart w:id="1792" w:name="_Toc389728056"/>
      <w:bookmarkStart w:id="1793" w:name="_Toc389727697"/>
      <w:bookmarkStart w:id="1794" w:name="_Toc389727339"/>
      <w:bookmarkStart w:id="1795" w:name="_Toc389726287"/>
      <w:bookmarkStart w:id="1796" w:name="_Toc389725295"/>
      <w:bookmarkStart w:id="1797" w:name="_Toc388285364"/>
      <w:bookmarkStart w:id="1798" w:name="_Toc389729132"/>
      <w:bookmarkStart w:id="1799" w:name="_Toc389728774"/>
      <w:bookmarkStart w:id="1800" w:name="_Toc389728414"/>
      <w:bookmarkStart w:id="1801" w:name="_Toc389728055"/>
      <w:bookmarkStart w:id="1802" w:name="_Toc389727696"/>
      <w:bookmarkStart w:id="1803" w:name="_Toc389727338"/>
      <w:bookmarkStart w:id="1804" w:name="_Toc389726286"/>
      <w:bookmarkStart w:id="1805" w:name="_Toc389725294"/>
      <w:bookmarkStart w:id="1806" w:name="_Toc388285363"/>
      <w:bookmarkStart w:id="1807" w:name="_Toc389729131"/>
      <w:bookmarkStart w:id="1808" w:name="_Toc389728773"/>
      <w:bookmarkStart w:id="1809" w:name="_Toc389728413"/>
      <w:bookmarkStart w:id="1810" w:name="_Toc389728054"/>
      <w:bookmarkStart w:id="1811" w:name="_Toc389727695"/>
      <w:bookmarkStart w:id="1812" w:name="_Toc389727337"/>
      <w:bookmarkStart w:id="1813" w:name="_Toc389726285"/>
      <w:bookmarkStart w:id="1814" w:name="_Toc389725293"/>
      <w:bookmarkStart w:id="1815" w:name="_Toc388285362"/>
      <w:bookmarkStart w:id="1816" w:name="_Toc403566583"/>
      <w:bookmarkStart w:id="1817" w:name="_Toc403472811"/>
      <w:bookmarkStart w:id="1818" w:name="_Toc389729172"/>
      <w:bookmarkStart w:id="1819" w:name="_Toc53186867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2002AB">
        <w:t>Measures to protect man, animals and the environment</w:t>
      </w:r>
      <w:bookmarkEnd w:id="1819"/>
    </w:p>
    <w:p w14:paraId="486471C3" w14:textId="77777777" w:rsidR="00CF59EF" w:rsidRDefault="000B5D37">
      <w:pPr>
        <w:jc w:val="both"/>
        <w:rPr>
          <w:rFonts w:eastAsia="Calibri"/>
          <w:lang w:eastAsia="en-US"/>
        </w:rPr>
      </w:pPr>
      <w:r>
        <w:rPr>
          <w:rFonts w:eastAsia="Calibri"/>
          <w:lang w:eastAsia="en-US"/>
        </w:rPr>
        <w:t>Recommended methods and precautions concerning storage of biocidal product</w:t>
      </w:r>
    </w:p>
    <w:p w14:paraId="506D115E" w14:textId="77777777" w:rsidR="00CF59EF" w:rsidRDefault="00CF59EF">
      <w:pPr>
        <w:jc w:val="both"/>
        <w:rPr>
          <w:rFonts w:eastAsia="Calibri"/>
          <w:lang w:eastAsia="en-US"/>
        </w:rPr>
      </w:pPr>
    </w:p>
    <w:p w14:paraId="03402097" w14:textId="77777777" w:rsidR="00CF59EF" w:rsidRDefault="000B5D37">
      <w:pPr>
        <w:jc w:val="both"/>
        <w:rPr>
          <w:rFonts w:eastAsia="Calibri"/>
          <w:lang w:eastAsia="en-US"/>
        </w:rPr>
      </w:pPr>
      <w:r>
        <w:rPr>
          <w:rFonts w:eastAsia="Calibri"/>
          <w:lang w:eastAsia="en-US"/>
        </w:rPr>
        <w:t>Store cool and dry, under well-ventilated conditions. Store this material away from incompatible substances (strong acids and oxidizing agents). Avoid contact with iron salts. Do not store in open, unlabel</w:t>
      </w:r>
      <w:r w:rsidR="00B57385">
        <w:rPr>
          <w:rFonts w:eastAsia="Calibri"/>
          <w:lang w:eastAsia="en-US"/>
        </w:rPr>
        <w:t>l</w:t>
      </w:r>
      <w:r>
        <w:rPr>
          <w:rFonts w:eastAsia="Calibri"/>
          <w:lang w:eastAsia="en-US"/>
        </w:rPr>
        <w:t>ed or mislabe</w:t>
      </w:r>
      <w:r w:rsidR="00B57385">
        <w:rPr>
          <w:rFonts w:eastAsia="Calibri"/>
          <w:lang w:eastAsia="en-US"/>
        </w:rPr>
        <w:t>l</w:t>
      </w:r>
      <w:r>
        <w:rPr>
          <w:rFonts w:eastAsia="Calibri"/>
          <w:lang w:eastAsia="en-US"/>
        </w:rPr>
        <w:t xml:space="preserve">led containers. Keep container closed when not in use. Do not reuse empty container without commercial cleaning or reconditioning. Product will absorb water vapor (hygroscopic). </w:t>
      </w:r>
    </w:p>
    <w:p w14:paraId="4E2EE160" w14:textId="77777777" w:rsidR="00CF59EF" w:rsidRDefault="00CF59EF">
      <w:pPr>
        <w:jc w:val="both"/>
        <w:rPr>
          <w:rFonts w:eastAsia="Calibri"/>
          <w:lang w:eastAsia="en-US"/>
        </w:rPr>
      </w:pPr>
    </w:p>
    <w:p w14:paraId="7788F345" w14:textId="77777777" w:rsidR="00CF59EF" w:rsidRDefault="000B5D37">
      <w:pPr>
        <w:jc w:val="both"/>
        <w:rPr>
          <w:rFonts w:eastAsia="Calibri"/>
          <w:lang w:eastAsia="en-US"/>
        </w:rPr>
      </w:pPr>
      <w:r>
        <w:rPr>
          <w:rFonts w:eastAsia="Calibri"/>
          <w:lang w:eastAsia="en-US"/>
        </w:rPr>
        <w:t xml:space="preserve">Recommended methods and precautions concerning handling </w:t>
      </w:r>
    </w:p>
    <w:p w14:paraId="5BE99547" w14:textId="77777777" w:rsidR="00CF59EF" w:rsidRDefault="00CF59EF">
      <w:pPr>
        <w:jc w:val="both"/>
        <w:rPr>
          <w:rFonts w:eastAsia="Calibri"/>
          <w:lang w:eastAsia="en-US"/>
        </w:rPr>
      </w:pPr>
    </w:p>
    <w:p w14:paraId="2B109E55" w14:textId="77777777" w:rsidR="00CF59EF" w:rsidRDefault="000B5D37">
      <w:pPr>
        <w:jc w:val="both"/>
        <w:rPr>
          <w:rFonts w:eastAsia="Calibri"/>
          <w:lang w:eastAsia="en-US"/>
        </w:rPr>
      </w:pPr>
      <w:r>
        <w:rPr>
          <w:rFonts w:eastAsia="Calibri"/>
          <w:lang w:eastAsia="en-US"/>
        </w:rPr>
        <w:t xml:space="preserve">Wash hands thoroughly after handling. Wear eye protection. IF IN EYES: </w:t>
      </w:r>
      <w:proofErr w:type="spellStart"/>
      <w:r>
        <w:rPr>
          <w:rFonts w:eastAsia="Calibri"/>
          <w:lang w:eastAsia="en-US"/>
        </w:rPr>
        <w:t>Rince</w:t>
      </w:r>
      <w:proofErr w:type="spellEnd"/>
      <w:r>
        <w:rPr>
          <w:rFonts w:eastAsia="Calibri"/>
          <w:lang w:eastAsia="en-US"/>
        </w:rPr>
        <w:t xml:space="preserve"> cautiously with water for several minutes. Remove contact lenses, if present and easy to do. Continue rinsing. If eye irritation persists: get medical advice/attention. </w:t>
      </w:r>
    </w:p>
    <w:p w14:paraId="3796FF0B" w14:textId="77777777" w:rsidR="00CF59EF" w:rsidRDefault="00CF59EF">
      <w:pPr>
        <w:jc w:val="both"/>
        <w:rPr>
          <w:rFonts w:eastAsia="Calibri"/>
          <w:lang w:eastAsia="en-US"/>
        </w:rPr>
      </w:pPr>
    </w:p>
    <w:p w14:paraId="36C30C82" w14:textId="77777777" w:rsidR="00CF59EF" w:rsidRDefault="000B5D37">
      <w:pPr>
        <w:jc w:val="both"/>
        <w:rPr>
          <w:rFonts w:eastAsia="Calibri"/>
          <w:lang w:eastAsia="en-US"/>
        </w:rPr>
      </w:pPr>
      <w:r>
        <w:rPr>
          <w:rFonts w:eastAsia="Calibri"/>
          <w:lang w:eastAsia="en-US"/>
        </w:rPr>
        <w:t>Particulars of likely direct or indirect adverse effects</w:t>
      </w:r>
    </w:p>
    <w:p w14:paraId="73C3A3F3" w14:textId="77777777" w:rsidR="00CF59EF" w:rsidRDefault="00CF59EF">
      <w:pPr>
        <w:jc w:val="both"/>
        <w:rPr>
          <w:rFonts w:eastAsia="Calibri"/>
          <w:lang w:eastAsia="en-US"/>
        </w:rPr>
      </w:pPr>
    </w:p>
    <w:p w14:paraId="3375A17B" w14:textId="77777777" w:rsidR="00CF59EF" w:rsidRDefault="000B5D37">
      <w:pPr>
        <w:jc w:val="both"/>
        <w:rPr>
          <w:rFonts w:eastAsia="Calibri"/>
          <w:lang w:eastAsia="en-US"/>
        </w:rPr>
      </w:pPr>
      <w:r>
        <w:rPr>
          <w:rFonts w:eastAsia="Calibri"/>
          <w:lang w:eastAsia="en-US"/>
        </w:rPr>
        <w:lastRenderedPageBreak/>
        <w:t>Most important symptoms and effects, both acute and delayed:</w:t>
      </w:r>
    </w:p>
    <w:p w14:paraId="42C0BD6E" w14:textId="77777777" w:rsidR="00CF59EF" w:rsidRDefault="000B5D37">
      <w:pPr>
        <w:jc w:val="both"/>
        <w:rPr>
          <w:rFonts w:eastAsia="Calibri"/>
          <w:lang w:eastAsia="en-US"/>
        </w:rPr>
      </w:pPr>
      <w:r>
        <w:rPr>
          <w:rFonts w:eastAsia="Calibri"/>
          <w:lang w:eastAsia="en-US"/>
        </w:rPr>
        <w:t xml:space="preserve">Coughing, </w:t>
      </w:r>
      <w:r w:rsidR="00FA02E1">
        <w:rPr>
          <w:rFonts w:eastAsia="Calibri"/>
          <w:lang w:eastAsia="en-US"/>
        </w:rPr>
        <w:t>i</w:t>
      </w:r>
      <w:r>
        <w:rPr>
          <w:rFonts w:eastAsia="Calibri"/>
          <w:lang w:eastAsia="en-US"/>
        </w:rPr>
        <w:t xml:space="preserve">rritation. </w:t>
      </w:r>
      <w:proofErr w:type="spellStart"/>
      <w:r>
        <w:rPr>
          <w:rFonts w:eastAsia="Calibri"/>
          <w:lang w:eastAsia="en-US"/>
        </w:rPr>
        <w:t>Preexisting</w:t>
      </w:r>
      <w:proofErr w:type="spellEnd"/>
      <w:r>
        <w:rPr>
          <w:rFonts w:eastAsia="Calibri"/>
          <w:lang w:eastAsia="en-US"/>
        </w:rPr>
        <w:t xml:space="preserve"> sensitization, skin and/or respiratory disorders or diseases may be aggravated.</w:t>
      </w:r>
    </w:p>
    <w:p w14:paraId="77300551" w14:textId="77777777" w:rsidR="00CF59EF" w:rsidRDefault="00CF59EF">
      <w:pPr>
        <w:jc w:val="both"/>
        <w:rPr>
          <w:rFonts w:eastAsia="Calibri"/>
          <w:lang w:eastAsia="en-US"/>
        </w:rPr>
      </w:pPr>
    </w:p>
    <w:p w14:paraId="0848E4E6" w14:textId="77777777" w:rsidR="00CF59EF" w:rsidRDefault="000B5D37">
      <w:pPr>
        <w:jc w:val="both"/>
        <w:rPr>
          <w:rFonts w:eastAsia="Calibri"/>
          <w:lang w:eastAsia="en-US"/>
        </w:rPr>
      </w:pPr>
      <w:r>
        <w:rPr>
          <w:rFonts w:eastAsia="Calibri"/>
          <w:lang w:eastAsia="en-US"/>
        </w:rPr>
        <w:t>First aid instructions, antidotes</w:t>
      </w:r>
    </w:p>
    <w:p w14:paraId="6F81F164" w14:textId="77777777" w:rsidR="00CF59EF" w:rsidRDefault="00CF59EF">
      <w:pPr>
        <w:jc w:val="both"/>
        <w:rPr>
          <w:rFonts w:eastAsia="Calibri"/>
          <w:lang w:eastAsia="en-US"/>
        </w:rPr>
      </w:pPr>
    </w:p>
    <w:p w14:paraId="67167F1D" w14:textId="77777777" w:rsidR="00CF59EF" w:rsidRDefault="000B5D37">
      <w:pPr>
        <w:jc w:val="both"/>
        <w:rPr>
          <w:rFonts w:eastAsia="Calibri"/>
          <w:lang w:eastAsia="en-US"/>
        </w:rPr>
      </w:pPr>
      <w:r>
        <w:rPr>
          <w:rFonts w:eastAsia="Calibri"/>
          <w:lang w:eastAsia="en-US"/>
        </w:rPr>
        <w:t>General: If irritation or other symptoms occur or persist from any route of exposure, remove the affected individual from the area: see a physician/get medical attention.</w:t>
      </w:r>
    </w:p>
    <w:p w14:paraId="65176A0D" w14:textId="77777777" w:rsidR="00CF59EF" w:rsidRDefault="000B5D37">
      <w:pPr>
        <w:jc w:val="both"/>
        <w:rPr>
          <w:rFonts w:eastAsia="Calibri"/>
          <w:lang w:eastAsia="en-US"/>
        </w:rPr>
      </w:pPr>
      <w:r>
        <w:rPr>
          <w:rFonts w:eastAsia="Calibri"/>
          <w:lang w:eastAsia="en-US"/>
        </w:rPr>
        <w:t>Eye contact: Immediately flush eyes with plenty of clean water for an extended time, not less than fifteen (15) minutes. Flush longer if there is any indication of residual chemical in the eye. Ensure adequate flushing of the eyes by separating the eyelids with fingers and roll eyes in a circular motion. If eye irritation persists: Get medical advice/attention.</w:t>
      </w:r>
    </w:p>
    <w:p w14:paraId="4E4C71DA" w14:textId="77777777" w:rsidR="00CF59EF" w:rsidRDefault="00CF59EF">
      <w:pPr>
        <w:jc w:val="both"/>
        <w:rPr>
          <w:rFonts w:eastAsia="Calibri"/>
          <w:lang w:eastAsia="en-US"/>
        </w:rPr>
      </w:pPr>
    </w:p>
    <w:p w14:paraId="65B89F12" w14:textId="77777777" w:rsidR="00CF59EF" w:rsidRDefault="000B5D37">
      <w:pPr>
        <w:jc w:val="both"/>
        <w:rPr>
          <w:rFonts w:eastAsia="Calibri"/>
          <w:lang w:eastAsia="en-US"/>
        </w:rPr>
      </w:pPr>
      <w:r>
        <w:rPr>
          <w:rFonts w:eastAsia="Calibri"/>
          <w:lang w:eastAsia="en-US"/>
        </w:rPr>
        <w:t>Skin contact: Wash the affected area thoroughly with plenty of soap and water. Get medical attention if symptoms occur.</w:t>
      </w:r>
    </w:p>
    <w:p w14:paraId="76BB5E70" w14:textId="77777777" w:rsidR="00CF59EF" w:rsidRDefault="00CF59EF">
      <w:pPr>
        <w:jc w:val="both"/>
        <w:rPr>
          <w:rFonts w:eastAsia="Calibri"/>
          <w:lang w:eastAsia="en-US"/>
        </w:rPr>
      </w:pPr>
    </w:p>
    <w:p w14:paraId="0D22D3EB" w14:textId="77777777" w:rsidR="00CF59EF" w:rsidRDefault="000B5D37">
      <w:pPr>
        <w:jc w:val="both"/>
        <w:rPr>
          <w:rFonts w:eastAsia="Calibri"/>
          <w:lang w:eastAsia="en-US"/>
        </w:rPr>
      </w:pPr>
      <w:r>
        <w:rPr>
          <w:rFonts w:eastAsia="Calibri"/>
          <w:lang w:eastAsia="en-US"/>
        </w:rPr>
        <w:t>Inhalation: If affected, remove to fresh air. If breathing is difficult, give oxygen. If not breathing, give artificial respiration. Call a POISON CENTER or doctor/physician if you feel unwell.</w:t>
      </w:r>
    </w:p>
    <w:p w14:paraId="0C28A123" w14:textId="77777777" w:rsidR="00CF59EF" w:rsidRDefault="00CF59EF">
      <w:pPr>
        <w:jc w:val="both"/>
        <w:rPr>
          <w:rFonts w:eastAsia="Calibri"/>
          <w:lang w:eastAsia="en-US"/>
        </w:rPr>
      </w:pPr>
    </w:p>
    <w:p w14:paraId="0DBA6920" w14:textId="77777777" w:rsidR="00CF59EF" w:rsidRDefault="000B5D37">
      <w:pPr>
        <w:jc w:val="both"/>
        <w:rPr>
          <w:rFonts w:eastAsia="Calibri"/>
          <w:lang w:eastAsia="en-US"/>
        </w:rPr>
      </w:pPr>
      <w:r>
        <w:rPr>
          <w:rFonts w:eastAsia="Calibri"/>
          <w:lang w:eastAsia="en-US"/>
        </w:rPr>
        <w:t>Do not induce vomiting. Never give anything by mouth to an unconscious person. Rinse out the mouth with water. Get medical attention immediately</w:t>
      </w:r>
    </w:p>
    <w:p w14:paraId="435FA6F3" w14:textId="77777777" w:rsidR="00CF59EF" w:rsidRDefault="00CF59EF">
      <w:pPr>
        <w:jc w:val="both"/>
        <w:rPr>
          <w:rFonts w:eastAsia="Calibri"/>
          <w:lang w:eastAsia="en-US"/>
        </w:rPr>
      </w:pPr>
    </w:p>
    <w:p w14:paraId="47948634" w14:textId="77777777" w:rsidR="00CF59EF" w:rsidRDefault="000B5D37">
      <w:pPr>
        <w:jc w:val="both"/>
        <w:rPr>
          <w:rFonts w:eastAsia="Calibri"/>
          <w:lang w:eastAsia="en-US"/>
        </w:rPr>
      </w:pPr>
      <w:r>
        <w:rPr>
          <w:rFonts w:eastAsia="Calibri"/>
          <w:lang w:eastAsia="en-US"/>
        </w:rPr>
        <w:t>Recommended methods and precautions concerning protection of the environment</w:t>
      </w:r>
    </w:p>
    <w:p w14:paraId="27ED4F23" w14:textId="77777777" w:rsidR="00CF59EF" w:rsidRDefault="00CF59EF">
      <w:pPr>
        <w:jc w:val="both"/>
        <w:rPr>
          <w:rFonts w:eastAsia="Calibri"/>
          <w:lang w:eastAsia="en-US"/>
        </w:rPr>
      </w:pPr>
    </w:p>
    <w:p w14:paraId="5601A7D0" w14:textId="77777777" w:rsidR="00CF59EF" w:rsidRDefault="000B5D37">
      <w:pPr>
        <w:jc w:val="both"/>
        <w:rPr>
          <w:rFonts w:eastAsia="Calibri"/>
          <w:lang w:eastAsia="en-US"/>
        </w:rPr>
      </w:pPr>
      <w:r>
        <w:rPr>
          <w:rFonts w:eastAsia="Calibri"/>
          <w:lang w:eastAsia="en-US"/>
        </w:rPr>
        <w:t>No specific measures are needed to protect the environment, as the risk to the environment was concluded to be acceptable.</w:t>
      </w:r>
    </w:p>
    <w:p w14:paraId="188FB5F3" w14:textId="77777777" w:rsidR="00CF59EF" w:rsidRDefault="00CF59EF">
      <w:pPr>
        <w:spacing w:line="260" w:lineRule="atLeast"/>
        <w:rPr>
          <w:rFonts w:eastAsia="Calibri"/>
          <w:lang w:eastAsia="en-US"/>
        </w:rPr>
      </w:pPr>
    </w:p>
    <w:p w14:paraId="5C43E785" w14:textId="77777777" w:rsidR="006D35BB" w:rsidRPr="002002AB" w:rsidRDefault="00E213C3" w:rsidP="006D35BB">
      <w:pPr>
        <w:pStyle w:val="Heading2"/>
        <w:numPr>
          <w:ilvl w:val="2"/>
          <w:numId w:val="2"/>
        </w:numPr>
        <w:ind w:left="720"/>
      </w:pPr>
      <w:bookmarkStart w:id="1820" w:name="_Toc378682321"/>
      <w:bookmarkStart w:id="1821" w:name="_Toc378692518"/>
      <w:bookmarkStart w:id="1822" w:name="_Toc378692381"/>
      <w:bookmarkStart w:id="1823" w:name="_Toc378692244"/>
      <w:bookmarkStart w:id="1824" w:name="_Toc378691786"/>
      <w:bookmarkStart w:id="1825" w:name="_Toc378685576"/>
      <w:bookmarkStart w:id="1826" w:name="_Toc378685440"/>
      <w:bookmarkStart w:id="1827" w:name="_Toc378683752"/>
      <w:bookmarkStart w:id="1828" w:name="_Toc378682305"/>
      <w:bookmarkStart w:id="1829" w:name="_Toc378681385"/>
      <w:bookmarkStart w:id="1830" w:name="_Toc378351636"/>
      <w:bookmarkStart w:id="1831" w:name="_Toc377653327"/>
      <w:bookmarkStart w:id="1832" w:name="_Toc377651057"/>
      <w:bookmarkStart w:id="1833" w:name="_Toc377650930"/>
      <w:bookmarkStart w:id="1834" w:name="_Toc377649077"/>
      <w:bookmarkStart w:id="1835" w:name="_Toc403566591"/>
      <w:bookmarkStart w:id="1836" w:name="_Toc403472819"/>
      <w:bookmarkStart w:id="1837" w:name="_Toc389729181"/>
      <w:bookmarkStart w:id="1838" w:name="_Toc531868678"/>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t xml:space="preserve"> </w:t>
      </w:r>
      <w:r w:rsidR="000B5D37" w:rsidRPr="002002AB">
        <w:t>Assessment of a combination of biocidal products</w:t>
      </w:r>
      <w:bookmarkEnd w:id="1838"/>
    </w:p>
    <w:p w14:paraId="3415B4A8" w14:textId="77777777" w:rsidR="00CF59EF" w:rsidRDefault="000B5D37">
      <w:pPr>
        <w:spacing w:line="260" w:lineRule="atLeast"/>
        <w:rPr>
          <w:rFonts w:eastAsia="Calibri"/>
          <w:lang w:eastAsia="en-US"/>
        </w:rPr>
      </w:pPr>
      <w:r>
        <w:rPr>
          <w:rFonts w:eastAsia="Calibri"/>
          <w:lang w:eastAsia="en-US"/>
        </w:rPr>
        <w:t xml:space="preserve">Not applicable. </w:t>
      </w:r>
    </w:p>
    <w:p w14:paraId="3FC0549E" w14:textId="77777777" w:rsidR="006D35BB" w:rsidRDefault="006D35BB">
      <w:pPr>
        <w:spacing w:line="260" w:lineRule="atLeast"/>
        <w:rPr>
          <w:rFonts w:eastAsia="Calibri"/>
          <w:lang w:eastAsia="en-US"/>
        </w:rPr>
      </w:pPr>
    </w:p>
    <w:p w14:paraId="507B0518" w14:textId="77777777" w:rsidR="006D35BB" w:rsidRDefault="00E213C3" w:rsidP="006D35BB">
      <w:pPr>
        <w:pStyle w:val="Heading2"/>
        <w:numPr>
          <w:ilvl w:val="2"/>
          <w:numId w:val="2"/>
        </w:numPr>
        <w:ind w:left="720"/>
      </w:pPr>
      <w:bookmarkStart w:id="1839" w:name="_Toc531868679"/>
      <w:r>
        <w:t xml:space="preserve"> </w:t>
      </w:r>
      <w:r w:rsidR="006D35BB">
        <w:t>Comparative assessment</w:t>
      </w:r>
      <w:bookmarkEnd w:id="1839"/>
      <w:r w:rsidR="006D35BB">
        <w:t xml:space="preserve"> </w:t>
      </w:r>
    </w:p>
    <w:p w14:paraId="1A7F3F70" w14:textId="77777777" w:rsidR="006D35BB" w:rsidRPr="006D35BB" w:rsidRDefault="006D35BB" w:rsidP="006D35BB">
      <w:pPr>
        <w:spacing w:line="260" w:lineRule="atLeast"/>
        <w:rPr>
          <w:rFonts w:eastAsia="Calibri"/>
          <w:lang w:eastAsia="en-US"/>
        </w:rPr>
      </w:pPr>
      <w:r w:rsidRPr="006D35BB">
        <w:rPr>
          <w:rFonts w:eastAsia="Calibri"/>
          <w:lang w:eastAsia="en-US"/>
        </w:rPr>
        <w:t xml:space="preserve">Not applicable. </w:t>
      </w:r>
    </w:p>
    <w:p w14:paraId="1EB17DBD" w14:textId="77777777" w:rsidR="006D35BB" w:rsidRDefault="006D35BB">
      <w:pPr>
        <w:spacing w:line="260" w:lineRule="atLeast"/>
        <w:rPr>
          <w:rFonts w:eastAsia="Calibri"/>
          <w:lang w:eastAsia="en-US"/>
        </w:rPr>
      </w:pPr>
    </w:p>
    <w:p w14:paraId="1A316B2B" w14:textId="77777777" w:rsidR="006D35BB" w:rsidRDefault="006D35BB">
      <w:pPr>
        <w:rPr>
          <w:rFonts w:eastAsia="Calibri"/>
          <w:lang w:val="de-DE" w:eastAsia="en-US"/>
        </w:rPr>
      </w:pPr>
      <w:bookmarkStart w:id="1840" w:name="_Toc378692533"/>
      <w:bookmarkStart w:id="1841" w:name="_Toc378692396"/>
      <w:bookmarkStart w:id="1842" w:name="_Toc378692259"/>
      <w:bookmarkStart w:id="1843" w:name="_Toc378691801"/>
      <w:bookmarkStart w:id="1844" w:name="_Toc378685592"/>
      <w:bookmarkStart w:id="1845" w:name="_Toc378685456"/>
      <w:bookmarkEnd w:id="1840"/>
      <w:bookmarkEnd w:id="1841"/>
      <w:bookmarkEnd w:id="1842"/>
      <w:bookmarkEnd w:id="1843"/>
      <w:bookmarkEnd w:id="1844"/>
      <w:bookmarkEnd w:id="1845"/>
      <w:r>
        <w:rPr>
          <w:rFonts w:eastAsia="Calibri"/>
          <w:lang w:val="de-DE" w:eastAsia="en-US"/>
        </w:rPr>
        <w:br w:type="page"/>
      </w:r>
    </w:p>
    <w:p w14:paraId="74E90A3D" w14:textId="77777777" w:rsidR="00CF59EF" w:rsidRDefault="00CF59EF">
      <w:pPr>
        <w:rPr>
          <w:rFonts w:eastAsia="Calibri"/>
          <w:lang w:val="de-DE" w:eastAsia="en-US"/>
        </w:rPr>
      </w:pPr>
    </w:p>
    <w:p w14:paraId="2B3ABA27" w14:textId="77777777" w:rsidR="006D35BB" w:rsidRDefault="000B5D37" w:rsidP="00CD3957">
      <w:pPr>
        <w:pStyle w:val="Heading1"/>
        <w:numPr>
          <w:ilvl w:val="0"/>
          <w:numId w:val="2"/>
        </w:numPr>
        <w:rPr>
          <w:rFonts w:eastAsia="Calibri"/>
        </w:rPr>
      </w:pPr>
      <w:bookmarkStart w:id="1846" w:name="_Toc531868680"/>
      <w:r>
        <w:rPr>
          <w:rFonts w:eastAsia="Calibri"/>
        </w:rPr>
        <w:t>Annexes</w:t>
      </w:r>
      <w:bookmarkStart w:id="1847" w:name="_Toc403472826"/>
      <w:bookmarkStart w:id="1848" w:name="_Toc389729188"/>
      <w:bookmarkStart w:id="1849" w:name="_Toc403472827"/>
      <w:bookmarkStart w:id="1850" w:name="_Toc389729189"/>
      <w:bookmarkEnd w:id="1846"/>
      <w:bookmarkEnd w:id="1847"/>
      <w:bookmarkEnd w:id="1848"/>
    </w:p>
    <w:p w14:paraId="0704248A" w14:textId="77777777" w:rsidR="006D35BB" w:rsidRPr="006D35BB" w:rsidRDefault="006D35BB">
      <w:pPr>
        <w:rPr>
          <w:rFonts w:eastAsia="Calibri"/>
          <w:b/>
        </w:rPr>
      </w:pPr>
      <w:r w:rsidRPr="006D35BB">
        <w:rPr>
          <w:rFonts w:eastAsia="Calibri"/>
          <w:b/>
        </w:rPr>
        <w:t>3.1 List of studies of the biocidal product</w:t>
      </w:r>
    </w:p>
    <w:p w14:paraId="44FA88B7" w14:textId="77777777" w:rsidR="006D35BB" w:rsidRPr="006D35BB" w:rsidRDefault="006D35BB">
      <w:pPr>
        <w:rPr>
          <w:rFonts w:eastAsia="Calibri"/>
          <w:b/>
        </w:rPr>
      </w:pPr>
    </w:p>
    <w:p w14:paraId="5A5BB25D" w14:textId="77777777" w:rsidR="006D35BB" w:rsidRPr="006D35BB" w:rsidRDefault="006D35BB">
      <w:pPr>
        <w:rPr>
          <w:rFonts w:eastAsia="Calibri"/>
          <w:b/>
        </w:rPr>
      </w:pPr>
      <w:r w:rsidRPr="006D35BB">
        <w:rPr>
          <w:rFonts w:eastAsia="Calibri"/>
          <w:b/>
        </w:rPr>
        <w:t>3.2 Output tables from exposure assessment tools</w:t>
      </w:r>
    </w:p>
    <w:p w14:paraId="0AD68A7B" w14:textId="77777777" w:rsidR="006D35BB" w:rsidRPr="006D35BB" w:rsidRDefault="006D35BB">
      <w:pPr>
        <w:rPr>
          <w:rFonts w:eastAsia="Calibri"/>
          <w:b/>
        </w:rPr>
      </w:pPr>
    </w:p>
    <w:p w14:paraId="638B4B5A" w14:textId="77777777" w:rsidR="006D35BB" w:rsidRPr="006D35BB" w:rsidRDefault="006D35BB">
      <w:pPr>
        <w:rPr>
          <w:rFonts w:eastAsia="Calibri"/>
          <w:b/>
        </w:rPr>
      </w:pPr>
      <w:r w:rsidRPr="006D35BB">
        <w:rPr>
          <w:rFonts w:eastAsia="Calibri"/>
          <w:b/>
        </w:rPr>
        <w:t>3.3 New information on the active substance</w:t>
      </w:r>
    </w:p>
    <w:p w14:paraId="71D69E26" w14:textId="77777777" w:rsidR="006D35BB" w:rsidRPr="006D35BB" w:rsidRDefault="006D35BB">
      <w:pPr>
        <w:rPr>
          <w:rFonts w:eastAsia="Calibri"/>
          <w:b/>
        </w:rPr>
      </w:pPr>
    </w:p>
    <w:p w14:paraId="517E0B91" w14:textId="77777777" w:rsidR="006D35BB" w:rsidRPr="006D35BB" w:rsidRDefault="006D35BB">
      <w:pPr>
        <w:rPr>
          <w:rFonts w:eastAsia="Calibri"/>
          <w:b/>
        </w:rPr>
      </w:pPr>
      <w:r w:rsidRPr="006D35BB">
        <w:rPr>
          <w:rFonts w:eastAsia="Calibri"/>
          <w:b/>
        </w:rPr>
        <w:t>3.4 Residue behaviour</w:t>
      </w:r>
    </w:p>
    <w:p w14:paraId="6B8EABF0" w14:textId="77777777" w:rsidR="006D35BB" w:rsidRPr="006D35BB" w:rsidRDefault="006D35BB">
      <w:pPr>
        <w:rPr>
          <w:rFonts w:eastAsia="Calibri"/>
          <w:b/>
        </w:rPr>
      </w:pPr>
    </w:p>
    <w:p w14:paraId="5B671677" w14:textId="77777777" w:rsidR="006D35BB" w:rsidRPr="006D35BB" w:rsidRDefault="006D35BB">
      <w:pPr>
        <w:rPr>
          <w:rFonts w:eastAsia="Calibri"/>
          <w:b/>
        </w:rPr>
      </w:pPr>
      <w:r w:rsidRPr="006D35BB">
        <w:rPr>
          <w:rFonts w:eastAsia="Calibri"/>
          <w:b/>
        </w:rPr>
        <w:t>3.5 Summaries of efficacy studies (B.5.10.1-xx)</w:t>
      </w:r>
    </w:p>
    <w:p w14:paraId="1CD5ABE0" w14:textId="77777777" w:rsidR="006D35BB" w:rsidRPr="006D35BB" w:rsidRDefault="006D35BB">
      <w:pPr>
        <w:rPr>
          <w:rFonts w:eastAsia="Calibri"/>
          <w:b/>
        </w:rPr>
      </w:pPr>
    </w:p>
    <w:p w14:paraId="4C2F5F48" w14:textId="77777777" w:rsidR="006D35BB" w:rsidRPr="006D35BB" w:rsidRDefault="006D35BB">
      <w:pPr>
        <w:rPr>
          <w:rFonts w:eastAsia="Calibri"/>
          <w:b/>
        </w:rPr>
      </w:pPr>
      <w:r w:rsidRPr="006D35BB">
        <w:rPr>
          <w:rFonts w:eastAsia="Calibri"/>
          <w:b/>
        </w:rPr>
        <w:t>3.6 Confidential annex</w:t>
      </w:r>
    </w:p>
    <w:p w14:paraId="50671BC1" w14:textId="77777777" w:rsidR="006D35BB" w:rsidRPr="006D35BB" w:rsidRDefault="006D35BB">
      <w:pPr>
        <w:rPr>
          <w:rFonts w:eastAsia="Calibri"/>
          <w:b/>
        </w:rPr>
      </w:pPr>
    </w:p>
    <w:p w14:paraId="1EA0A9B6" w14:textId="77777777" w:rsidR="006D35BB" w:rsidRPr="006D35BB" w:rsidRDefault="006D35BB">
      <w:pPr>
        <w:rPr>
          <w:rFonts w:eastAsia="Calibri"/>
          <w:b/>
        </w:rPr>
      </w:pPr>
      <w:r w:rsidRPr="006D35BB">
        <w:rPr>
          <w:rFonts w:eastAsia="Calibri"/>
          <w:b/>
        </w:rPr>
        <w:t>3.7 Other</w:t>
      </w:r>
    </w:p>
    <w:p w14:paraId="149B627E" w14:textId="77777777" w:rsidR="006D35BB" w:rsidRDefault="006D35BB">
      <w:pPr>
        <w:rPr>
          <w:rFonts w:eastAsia="Calibri"/>
          <w:b/>
          <w:caps/>
          <w:sz w:val="28"/>
          <w:lang w:val="de-DE"/>
        </w:rPr>
      </w:pPr>
      <w:r>
        <w:rPr>
          <w:rFonts w:eastAsia="Calibri"/>
        </w:rPr>
        <w:br w:type="page"/>
      </w:r>
    </w:p>
    <w:p w14:paraId="281E382B" w14:textId="77777777" w:rsidR="00CF59EF" w:rsidRDefault="000B5D37" w:rsidP="006D35BB">
      <w:pPr>
        <w:pStyle w:val="Heading2"/>
      </w:pPr>
      <w:bookmarkStart w:id="1851" w:name="_Toc531868681"/>
      <w:r>
        <w:lastRenderedPageBreak/>
        <w:t>List of studies for the biocidal product</w:t>
      </w:r>
      <w:bookmarkEnd w:id="1849"/>
      <w:bookmarkEnd w:id="1850"/>
      <w:bookmarkEnd w:id="1851"/>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600"/>
        <w:gridCol w:w="988"/>
        <w:gridCol w:w="377"/>
        <w:gridCol w:w="1550"/>
        <w:gridCol w:w="1079"/>
        <w:gridCol w:w="1414"/>
        <w:gridCol w:w="306"/>
        <w:gridCol w:w="699"/>
        <w:gridCol w:w="725"/>
        <w:gridCol w:w="613"/>
        <w:gridCol w:w="852"/>
      </w:tblGrid>
      <w:tr w:rsidR="00CF59EF" w:rsidRPr="006D35BB" w14:paraId="58E25879" w14:textId="77777777" w:rsidTr="000D3A48">
        <w:trPr>
          <w:cantSplit/>
          <w:trHeight w:val="965"/>
          <w:tblHeader/>
        </w:trPr>
        <w:tc>
          <w:tcPr>
            <w:tcW w:w="32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2A5D8C89"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Data point</w:t>
            </w:r>
          </w:p>
        </w:tc>
        <w:tc>
          <w:tcPr>
            <w:tcW w:w="537"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61E51F1C"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Author(s)</w:t>
            </w:r>
          </w:p>
        </w:tc>
        <w:tc>
          <w:tcPr>
            <w:tcW w:w="205"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2DE76FFB"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Year</w:t>
            </w:r>
          </w:p>
        </w:tc>
        <w:tc>
          <w:tcPr>
            <w:tcW w:w="842"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22BFBEDC"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Title</w:t>
            </w:r>
          </w:p>
          <w:p w14:paraId="3109CD1F" w14:textId="77777777" w:rsidR="00CF59EF" w:rsidRPr="006D35BB" w:rsidRDefault="00CF59EF">
            <w:pPr>
              <w:widowControl w:val="0"/>
              <w:tabs>
                <w:tab w:val="left" w:pos="1134"/>
              </w:tabs>
              <w:rPr>
                <w:rFonts w:ascii="Arial" w:hAnsi="Arial"/>
                <w:b/>
                <w:sz w:val="16"/>
                <w:szCs w:val="16"/>
                <w:lang w:val="en-US" w:eastAsia="nl-NL"/>
              </w:rPr>
            </w:pPr>
          </w:p>
        </w:tc>
        <w:tc>
          <w:tcPr>
            <w:tcW w:w="58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600EF7E0"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Company Report No. </w:t>
            </w:r>
          </w:p>
          <w:p w14:paraId="39482F82" w14:textId="77777777" w:rsidR="00CF59EF" w:rsidRPr="006D35BB" w:rsidRDefault="00CF59EF">
            <w:pPr>
              <w:widowControl w:val="0"/>
              <w:tabs>
                <w:tab w:val="left" w:pos="1134"/>
              </w:tabs>
              <w:rPr>
                <w:rFonts w:ascii="Arial" w:hAnsi="Arial"/>
                <w:b/>
                <w:sz w:val="16"/>
                <w:szCs w:val="16"/>
                <w:lang w:val="en-US" w:eastAsia="nl-NL"/>
              </w:rPr>
            </w:pPr>
          </w:p>
        </w:tc>
        <w:tc>
          <w:tcPr>
            <w:tcW w:w="768"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21534D9E"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Source</w:t>
            </w:r>
          </w:p>
        </w:tc>
        <w:tc>
          <w:tcPr>
            <w:tcW w:w="16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13D57381"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GLP </w:t>
            </w:r>
          </w:p>
          <w:p w14:paraId="7EBCCBD0" w14:textId="77777777" w:rsidR="00CF59EF" w:rsidRPr="006D35BB" w:rsidRDefault="00CF59EF">
            <w:pPr>
              <w:widowControl w:val="0"/>
              <w:tabs>
                <w:tab w:val="left" w:pos="1134"/>
              </w:tabs>
              <w:rPr>
                <w:rFonts w:ascii="Arial" w:hAnsi="Arial"/>
                <w:b/>
                <w:sz w:val="16"/>
                <w:szCs w:val="16"/>
                <w:lang w:val="en-US" w:eastAsia="nl-NL"/>
              </w:rPr>
            </w:pPr>
          </w:p>
          <w:p w14:paraId="2BE3F45B"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80"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63222265"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Published </w:t>
            </w:r>
          </w:p>
          <w:p w14:paraId="2F8E66A4" w14:textId="77777777" w:rsidR="00CF59EF" w:rsidRPr="006D35BB" w:rsidRDefault="00CF59EF">
            <w:pPr>
              <w:widowControl w:val="0"/>
              <w:tabs>
                <w:tab w:val="left" w:pos="1134"/>
              </w:tabs>
              <w:rPr>
                <w:rFonts w:ascii="Arial" w:hAnsi="Arial"/>
                <w:b/>
                <w:sz w:val="16"/>
                <w:szCs w:val="16"/>
                <w:lang w:val="en-US" w:eastAsia="nl-NL"/>
              </w:rPr>
            </w:pPr>
          </w:p>
          <w:p w14:paraId="05047547"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94"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1713D427"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Vertebrate study</w:t>
            </w:r>
          </w:p>
          <w:p w14:paraId="6EBE87D9" w14:textId="77777777" w:rsidR="00CF59EF" w:rsidRPr="006D35BB" w:rsidRDefault="00CF59EF">
            <w:pPr>
              <w:widowControl w:val="0"/>
              <w:tabs>
                <w:tab w:val="left" w:pos="1134"/>
              </w:tabs>
              <w:rPr>
                <w:rFonts w:ascii="Arial" w:hAnsi="Arial"/>
                <w:b/>
                <w:sz w:val="16"/>
                <w:szCs w:val="16"/>
                <w:lang w:val="en-US" w:eastAsia="nl-NL"/>
              </w:rPr>
            </w:pPr>
          </w:p>
          <w:p w14:paraId="1E6E8C11" w14:textId="77777777" w:rsidR="00CF59EF" w:rsidRPr="006D35BB" w:rsidRDefault="00CF59EF">
            <w:pPr>
              <w:widowControl w:val="0"/>
              <w:tabs>
                <w:tab w:val="left" w:pos="1134"/>
              </w:tabs>
              <w:rPr>
                <w:rFonts w:ascii="Arial" w:hAnsi="Arial"/>
                <w:b/>
                <w:sz w:val="16"/>
                <w:szCs w:val="16"/>
                <w:lang w:val="en-US" w:eastAsia="nl-NL"/>
              </w:rPr>
            </w:pPr>
          </w:p>
          <w:p w14:paraId="120021F3"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33"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2A231C7A"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Data protection claimed</w:t>
            </w:r>
          </w:p>
          <w:p w14:paraId="20084CD0" w14:textId="77777777" w:rsidR="00CF59EF" w:rsidRPr="006D35BB" w:rsidRDefault="00CF59EF">
            <w:pPr>
              <w:widowControl w:val="0"/>
              <w:tabs>
                <w:tab w:val="left" w:pos="1134"/>
              </w:tabs>
              <w:rPr>
                <w:rFonts w:ascii="Arial" w:hAnsi="Arial"/>
                <w:b/>
                <w:sz w:val="16"/>
                <w:szCs w:val="16"/>
                <w:lang w:val="en-US" w:eastAsia="nl-NL"/>
              </w:rPr>
            </w:pPr>
          </w:p>
          <w:p w14:paraId="79778EE4" w14:textId="77777777" w:rsidR="00CF59EF" w:rsidRPr="006D35BB" w:rsidRDefault="00CF59EF">
            <w:pPr>
              <w:widowControl w:val="0"/>
              <w:tabs>
                <w:tab w:val="left" w:pos="1134"/>
              </w:tabs>
              <w:rPr>
                <w:rFonts w:ascii="Arial" w:hAnsi="Arial"/>
                <w:b/>
                <w:sz w:val="16"/>
                <w:szCs w:val="16"/>
                <w:lang w:val="en-US" w:eastAsia="nl-NL"/>
              </w:rPr>
            </w:pPr>
          </w:p>
          <w:p w14:paraId="7AB1BE08"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463"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14:paraId="0FD426D4" w14:textId="77777777"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Owner</w:t>
            </w:r>
          </w:p>
        </w:tc>
      </w:tr>
      <w:tr w:rsidR="00820E31" w:rsidRPr="006D35BB" w14:paraId="7E45F25F"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E690267" w14:textId="77777777" w:rsidR="00820E31" w:rsidRPr="006D35BB" w:rsidRDefault="00820E31">
            <w:pPr>
              <w:widowControl w:val="0"/>
              <w:rPr>
                <w:sz w:val="16"/>
                <w:szCs w:val="16"/>
                <w:lang w:val="en-US" w:eastAsia="nl-NL"/>
              </w:rPr>
            </w:pPr>
            <w:r w:rsidRPr="006D35BB">
              <w:rPr>
                <w:sz w:val="16"/>
                <w:szCs w:val="16"/>
                <w:lang w:val="en-US" w:eastAsia="nl-NL"/>
              </w:rPr>
              <w:t>2.2.2-01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D8E3191"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103CCC" w14:textId="77777777" w:rsidR="00820E31" w:rsidRPr="006D35BB" w:rsidRDefault="00820E31">
            <w:pPr>
              <w:widowControl w:val="0"/>
              <w:rPr>
                <w:sz w:val="16"/>
                <w:szCs w:val="16"/>
                <w:lang w:val="en-US" w:eastAsia="nl-NL"/>
              </w:rPr>
            </w:pPr>
            <w:r w:rsidRPr="006D35BB">
              <w:rPr>
                <w:sz w:val="16"/>
                <w:szCs w:val="16"/>
                <w:lang w:val="en-US" w:eastAsia="nl-NL"/>
              </w:rPr>
              <w:t>2010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0F955FE" w14:textId="77777777" w:rsidR="00820E31" w:rsidRPr="006D35BB" w:rsidRDefault="00820E31">
            <w:pPr>
              <w:widowControl w:val="0"/>
              <w:rPr>
                <w:rFonts w:eastAsia="Calibri"/>
                <w:sz w:val="16"/>
                <w:szCs w:val="16"/>
              </w:rPr>
            </w:pPr>
            <w:r w:rsidRPr="006D35BB">
              <w:rPr>
                <w:rFonts w:eastAsia="Calibri"/>
                <w:sz w:val="16"/>
                <w:szCs w:val="16"/>
                <w:lang w:val="en-US"/>
              </w:rPr>
              <w:t>D</w:t>
            </w:r>
            <w:proofErr w:type="spellStart"/>
            <w:r w:rsidRPr="006D35BB">
              <w:rPr>
                <w:rFonts w:eastAsia="Calibri"/>
                <w:sz w:val="16"/>
                <w:szCs w:val="16"/>
              </w:rPr>
              <w:t>etermination</w:t>
            </w:r>
            <w:proofErr w:type="spellEnd"/>
            <w:r w:rsidRPr="006D35BB">
              <w:rPr>
                <w:rFonts w:eastAsia="Calibri"/>
                <w:sz w:val="16"/>
                <w:szCs w:val="16"/>
              </w:rPr>
              <w:t xml:space="preserve"> of </w:t>
            </w:r>
            <w:proofErr w:type="spellStart"/>
            <w:r w:rsidRPr="006D35BB">
              <w:rPr>
                <w:rFonts w:eastAsia="Calibri"/>
                <w:sz w:val="16"/>
                <w:szCs w:val="16"/>
              </w:rPr>
              <w:t>physico</w:t>
            </w:r>
            <w:proofErr w:type="spellEnd"/>
            <w:r w:rsidRPr="006D35BB">
              <w:rPr>
                <w:rFonts w:eastAsia="Calibri"/>
                <w:sz w:val="16"/>
                <w:szCs w:val="16"/>
              </w:rPr>
              <w:t xml:space="preserve">-chemical properties of </w:t>
            </w:r>
            <w:proofErr w:type="spellStart"/>
            <w:r w:rsidRPr="006D35BB">
              <w:rPr>
                <w:rFonts w:eastAsia="Calibri"/>
                <w:sz w:val="16"/>
                <w:szCs w:val="16"/>
              </w:rPr>
              <w:t>Natriumbenzoaat</w:t>
            </w:r>
            <w:proofErr w:type="spellEnd"/>
            <w:r w:rsidRPr="006D35BB">
              <w:rPr>
                <w:rFonts w:eastAsia="Calibri"/>
                <w:sz w:val="16"/>
                <w:szCs w:val="16"/>
              </w:rPr>
              <w:t xml:space="preserve"> (</w:t>
            </w:r>
            <w:proofErr w:type="spellStart"/>
            <w:r w:rsidRPr="006D35BB">
              <w:rPr>
                <w:rFonts w:eastAsia="Calibri"/>
                <w:sz w:val="16"/>
                <w:szCs w:val="16"/>
              </w:rPr>
              <w:t>Purox</w:t>
            </w:r>
            <w:proofErr w:type="spellEnd"/>
            <w:r w:rsidRPr="006D35BB">
              <w:rPr>
                <w:rFonts w:eastAsia="Calibri"/>
                <w:sz w:val="16"/>
                <w:szCs w:val="16"/>
                <w:vertAlign w:val="superscript"/>
              </w:rPr>
              <w:t>®</w:t>
            </w:r>
            <w:r w:rsidRPr="006D35BB">
              <w:rPr>
                <w:rFonts w:eastAsia="Calibri"/>
                <w:sz w:val="16"/>
                <w:szCs w:val="16"/>
              </w:rPr>
              <w:t xml:space="preserve"> 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64E318"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68BFD3"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A93CCA8" w14:textId="77777777"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1F1C0E"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B84027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25EECEB"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B39FA7"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p w14:paraId="2C00B0EC" w14:textId="77777777" w:rsidR="00820E31" w:rsidRPr="006D35BB" w:rsidRDefault="00820E31">
            <w:pPr>
              <w:widowControl w:val="0"/>
              <w:rPr>
                <w:sz w:val="16"/>
                <w:szCs w:val="16"/>
                <w:lang w:val="en-US" w:eastAsia="nl-NL"/>
              </w:rPr>
            </w:pPr>
            <w:r w:rsidRPr="006D35BB">
              <w:rPr>
                <w:sz w:val="16"/>
                <w:szCs w:val="16"/>
                <w:lang w:val="en-US" w:eastAsia="nl-NL"/>
              </w:rPr>
              <w:t>(</w:t>
            </w:r>
            <w:r w:rsidRPr="006D35BB">
              <w:rPr>
                <w:rFonts w:eastAsia="Calibri"/>
                <w:sz w:val="16"/>
                <w:szCs w:val="16"/>
              </w:rPr>
              <w:t>DSM Special Products)</w:t>
            </w:r>
          </w:p>
          <w:p w14:paraId="31900CC0" w14:textId="77777777" w:rsidR="00820E31" w:rsidRPr="006D35BB" w:rsidRDefault="00820E31">
            <w:pPr>
              <w:jc w:val="center"/>
              <w:rPr>
                <w:sz w:val="16"/>
                <w:szCs w:val="16"/>
                <w:lang w:val="en-US" w:eastAsia="nl-NL"/>
              </w:rPr>
            </w:pPr>
          </w:p>
        </w:tc>
      </w:tr>
      <w:tr w:rsidR="00820E31" w:rsidRPr="006D35BB" w14:paraId="3655B83B"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70116F" w14:textId="77777777" w:rsidR="00820E31" w:rsidRPr="006D35BB" w:rsidRDefault="00820E31">
            <w:pPr>
              <w:widowControl w:val="0"/>
              <w:rPr>
                <w:sz w:val="16"/>
                <w:szCs w:val="16"/>
                <w:lang w:val="en-US" w:eastAsia="nl-NL"/>
              </w:rPr>
            </w:pPr>
            <w:r w:rsidRPr="006D35BB">
              <w:rPr>
                <w:sz w:val="16"/>
                <w:szCs w:val="16"/>
                <w:lang w:val="en-US" w:eastAsia="nl-NL"/>
              </w:rPr>
              <w:t>2.2.2-02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59B0F4"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5E6747B" w14:textId="77777777"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50F657C" w14:textId="77777777" w:rsidR="00820E31" w:rsidRPr="006D35BB" w:rsidRDefault="00820E31">
            <w:pPr>
              <w:widowControl w:val="0"/>
              <w:rPr>
                <w:rFonts w:eastAsia="Calibri"/>
                <w:sz w:val="16"/>
                <w:szCs w:val="16"/>
                <w:lang w:val="en-US"/>
              </w:rPr>
            </w:pPr>
            <w:r w:rsidRPr="006D35BB">
              <w:rPr>
                <w:rFonts w:eastAsia="Calibri"/>
                <w:sz w:val="16"/>
                <w:szCs w:val="16"/>
                <w:lang w:val="en-US"/>
              </w:rPr>
              <w:t xml:space="preserve">Physical and Chemical Characteristics of </w:t>
            </w:r>
            <w:proofErr w:type="spellStart"/>
            <w:r w:rsidRPr="006D35BB">
              <w:rPr>
                <w:rFonts w:eastAsia="Calibri"/>
                <w:sz w:val="16"/>
                <w:szCs w:val="16"/>
                <w:lang w:val="en-US"/>
              </w:rPr>
              <w:t>Purox</w:t>
            </w:r>
            <w:proofErr w:type="spellEnd"/>
            <w:r w:rsidRPr="006D35BB">
              <w:rPr>
                <w:rFonts w:eastAsia="Calibri"/>
                <w:sz w:val="16"/>
                <w:szCs w:val="16"/>
                <w:lang w:val="en-US"/>
              </w:rPr>
              <w:t xml:space="preserve"> S</w:t>
            </w:r>
          </w:p>
          <w:p w14:paraId="3AB4EE82" w14:textId="77777777" w:rsidR="00820E31" w:rsidRPr="006D35BB" w:rsidRDefault="00820E31">
            <w:pPr>
              <w:widowControl w:val="0"/>
              <w:rPr>
                <w:rFonts w:eastAsia="Calibri"/>
                <w:sz w:val="16"/>
                <w:szCs w:val="16"/>
                <w:lang w:val="en-US"/>
              </w:rPr>
            </w:pPr>
            <w:r w:rsidRPr="006D35BB">
              <w:rPr>
                <w:rFonts w:eastAsia="Calibri"/>
                <w:sz w:val="16"/>
                <w:szCs w:val="16"/>
                <w:lang w:val="en-US"/>
              </w:rPr>
              <w:t>Color, Physical State, Odor, Oxidation/Reduction, Storage Stability,</w:t>
            </w:r>
          </w:p>
          <w:p w14:paraId="4A2ECE5D" w14:textId="77777777" w:rsidR="00820E31" w:rsidRPr="006D35BB" w:rsidRDefault="00820E31">
            <w:pPr>
              <w:widowControl w:val="0"/>
              <w:rPr>
                <w:rFonts w:eastAsia="Calibri"/>
                <w:sz w:val="16"/>
                <w:szCs w:val="16"/>
                <w:lang w:val="en-US"/>
              </w:rPr>
            </w:pPr>
            <w:r w:rsidRPr="006D35BB">
              <w:rPr>
                <w:rFonts w:eastAsia="Calibri"/>
                <w:sz w:val="16"/>
                <w:szCs w:val="16"/>
                <w:lang w:val="en-US"/>
              </w:rPr>
              <w:t>Corrosion Characteristics, pH and Bulk Density</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AF9729"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B46BD69"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3DD43DC" w14:textId="77777777" w:rsidR="00820E31" w:rsidRPr="006D35BB" w:rsidRDefault="00820E31">
            <w:pPr>
              <w:widowControl w:val="0"/>
              <w:rPr>
                <w:sz w:val="16"/>
                <w:szCs w:val="16"/>
                <w:lang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80FE5A"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AA9BB6"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2466DC"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48B0CA6"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p w14:paraId="6570E032" w14:textId="77777777" w:rsidR="00820E31" w:rsidRPr="006D35BB" w:rsidRDefault="00820E31">
            <w:pPr>
              <w:widowControl w:val="0"/>
              <w:rPr>
                <w:sz w:val="16"/>
                <w:szCs w:val="16"/>
                <w:lang w:val="en-US" w:eastAsia="nl-NL"/>
              </w:rPr>
            </w:pPr>
          </w:p>
        </w:tc>
      </w:tr>
      <w:tr w:rsidR="00820E31" w:rsidRPr="006D35BB" w14:paraId="72443154"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1896FA6" w14:textId="77777777" w:rsidR="00820E31" w:rsidRPr="006D35BB" w:rsidRDefault="00820E31">
            <w:pPr>
              <w:widowControl w:val="0"/>
              <w:rPr>
                <w:sz w:val="16"/>
                <w:szCs w:val="16"/>
                <w:lang w:val="en-US" w:eastAsia="nl-NL"/>
              </w:rPr>
            </w:pPr>
            <w:r w:rsidRPr="006D35BB">
              <w:rPr>
                <w:sz w:val="16"/>
                <w:szCs w:val="16"/>
                <w:lang w:val="en-US" w:eastAsia="nl-NL"/>
              </w:rPr>
              <w:t>2.2.2-03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8D0054"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C528C3B" w14:textId="77777777" w:rsidR="00820E31" w:rsidRPr="006D35BB" w:rsidRDefault="00820E31">
            <w:pPr>
              <w:widowControl w:val="0"/>
              <w:rPr>
                <w:sz w:val="16"/>
                <w:szCs w:val="16"/>
                <w:lang w:val="en-US" w:eastAsia="nl-NL"/>
              </w:rPr>
            </w:pPr>
            <w:r w:rsidRPr="006D35BB">
              <w:rPr>
                <w:sz w:val="16"/>
                <w:szCs w:val="16"/>
                <w:lang w:val="en-US" w:eastAsia="nl-NL"/>
              </w:rPr>
              <w:t>2015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5DA74A0" w14:textId="77777777" w:rsidR="00820E31" w:rsidRPr="006D35BB" w:rsidRDefault="00820E31">
            <w:pPr>
              <w:widowControl w:val="0"/>
              <w:rPr>
                <w:rFonts w:eastAsia="Calibri"/>
                <w:sz w:val="16"/>
                <w:szCs w:val="16"/>
                <w:lang w:val="en-US"/>
              </w:rPr>
            </w:pPr>
            <w:r w:rsidRPr="006D35BB">
              <w:rPr>
                <w:rFonts w:eastAsia="Calibri"/>
                <w:sz w:val="16"/>
                <w:szCs w:val="16"/>
                <w:lang w:val="en-US"/>
              </w:rPr>
              <w:t>Determination of the bulk density of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B8D2A6"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7610CE"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6F9B42"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A40685"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9B0A76"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ED2B27"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B9D72A6" w14:textId="77777777" w:rsidR="00820E31" w:rsidRPr="006D35BB" w:rsidRDefault="00820E31">
            <w:pPr>
              <w:widowControl w:val="0"/>
              <w:rPr>
                <w:sz w:val="16"/>
                <w:szCs w:val="16"/>
                <w:lang w:val="en-US" w:eastAsia="nl-NL"/>
              </w:rPr>
            </w:pPr>
            <w:r w:rsidRPr="006D35BB">
              <w:rPr>
                <w:sz w:val="16"/>
                <w:szCs w:val="16"/>
                <w:lang w:val="en-US" w:eastAsia="nl-NL"/>
              </w:rPr>
              <w:t>Emerald Kalama Chemical BV</w:t>
            </w:r>
          </w:p>
        </w:tc>
      </w:tr>
      <w:tr w:rsidR="00820E31" w:rsidRPr="006D35BB" w14:paraId="0F289EF6"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D255A5A" w14:textId="77777777" w:rsidR="00820E31" w:rsidRPr="006D35BB" w:rsidRDefault="00820E31">
            <w:pPr>
              <w:widowControl w:val="0"/>
              <w:rPr>
                <w:sz w:val="16"/>
                <w:szCs w:val="16"/>
                <w:lang w:val="en-US" w:eastAsia="nl-NL"/>
              </w:rPr>
            </w:pPr>
            <w:r w:rsidRPr="006D35BB">
              <w:rPr>
                <w:sz w:val="16"/>
                <w:szCs w:val="16"/>
                <w:lang w:val="en-US" w:eastAsia="nl-NL"/>
              </w:rPr>
              <w:t>2.2.2-04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D080BD4"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BABBC1" w14:textId="77777777" w:rsidR="00820E31" w:rsidRPr="006D35BB" w:rsidRDefault="00820E31">
            <w:pPr>
              <w:widowControl w:val="0"/>
              <w:rPr>
                <w:sz w:val="16"/>
                <w:szCs w:val="16"/>
                <w:lang w:val="en-US" w:eastAsia="nl-NL"/>
              </w:rPr>
            </w:pPr>
            <w:r w:rsidRPr="006D35BB">
              <w:rPr>
                <w:sz w:val="16"/>
                <w:szCs w:val="16"/>
                <w:lang w:val="en-US" w:eastAsia="nl-NL"/>
              </w:rPr>
              <w:t>2018</w:t>
            </w:r>
          </w:p>
          <w:p w14:paraId="4EC198A1" w14:textId="77777777" w:rsidR="00820E31" w:rsidRPr="006D35BB" w:rsidRDefault="00820E31">
            <w:pPr>
              <w:widowControl w:val="0"/>
              <w:rPr>
                <w:sz w:val="16"/>
                <w:szCs w:val="16"/>
                <w:lang w:val="en-US" w:eastAsia="nl-NL"/>
              </w:rPr>
            </w:pP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4093732" w14:textId="77777777" w:rsidR="00820E31" w:rsidRPr="006D35BB" w:rsidRDefault="00820E31">
            <w:pPr>
              <w:widowControl w:val="0"/>
              <w:rPr>
                <w:rFonts w:eastAsia="Calibri"/>
                <w:sz w:val="16"/>
                <w:szCs w:val="16"/>
                <w:lang w:val="en-US"/>
              </w:rPr>
            </w:pPr>
            <w:proofErr w:type="spellStart"/>
            <w:r w:rsidRPr="006D35BB">
              <w:rPr>
                <w:rFonts w:eastAsia="Calibri"/>
                <w:sz w:val="16"/>
                <w:szCs w:val="16"/>
                <w:lang w:val="en-US"/>
              </w:rPr>
              <w:t>Excellerated</w:t>
            </w:r>
            <w:proofErr w:type="spellEnd"/>
            <w:r w:rsidRPr="006D35BB">
              <w:rPr>
                <w:rFonts w:eastAsia="Calibri"/>
                <w:sz w:val="16"/>
                <w:szCs w:val="16"/>
                <w:lang w:val="en-US"/>
              </w:rPr>
              <w:t xml:space="preserve"> stability study of </w:t>
            </w:r>
            <w:proofErr w:type="spellStart"/>
            <w:r w:rsidRPr="006D35BB">
              <w:rPr>
                <w:rFonts w:eastAsia="Calibri"/>
                <w:sz w:val="16"/>
                <w:szCs w:val="16"/>
                <w:lang w:val="en-US"/>
              </w:rPr>
              <w:t>purox</w:t>
            </w:r>
            <w:proofErr w:type="spellEnd"/>
            <w:r w:rsidRPr="006D35BB">
              <w:rPr>
                <w:rFonts w:eastAsia="Calibri"/>
                <w:sz w:val="16"/>
                <w:szCs w:val="16"/>
                <w:lang w:val="en-US"/>
              </w:rPr>
              <w:t>/</w:t>
            </w:r>
            <w:proofErr w:type="spellStart"/>
            <w:r w:rsidRPr="006D35BB">
              <w:rPr>
                <w:rFonts w:eastAsia="Calibri"/>
                <w:sz w:val="16"/>
                <w:szCs w:val="16"/>
                <w:lang w:val="en-US"/>
              </w:rPr>
              <w:t>kalaguard</w:t>
            </w:r>
            <w:proofErr w:type="spellEnd"/>
            <w:r w:rsidRPr="006D35BB">
              <w:rPr>
                <w:rFonts w:eastAsia="Calibri"/>
                <w:sz w:val="16"/>
                <w:szCs w:val="16"/>
                <w:lang w:val="en-US"/>
              </w:rPr>
              <w:t xml:space="preserve">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9769C9"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BC1F7CB"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B4C144B"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B34A4E"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3649A1"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2B3A7A4"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33113A" w14:textId="77777777" w:rsidR="00820E31" w:rsidRPr="006D35BB" w:rsidRDefault="00820E31">
            <w:pPr>
              <w:widowControl w:val="0"/>
              <w:rPr>
                <w:sz w:val="16"/>
                <w:szCs w:val="16"/>
                <w:lang w:val="en-US" w:eastAsia="nl-NL"/>
              </w:rPr>
            </w:pPr>
            <w:r w:rsidRPr="006D35BB">
              <w:rPr>
                <w:sz w:val="16"/>
                <w:szCs w:val="16"/>
                <w:lang w:val="en-US" w:eastAsia="nl-NL"/>
              </w:rPr>
              <w:t>Emerald Kalama Chemical BV</w:t>
            </w:r>
          </w:p>
        </w:tc>
      </w:tr>
      <w:tr w:rsidR="00820E31" w:rsidRPr="006D35BB" w14:paraId="39EDF388"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4670262" w14:textId="77777777" w:rsidR="00820E31" w:rsidRPr="006D35BB" w:rsidRDefault="00820E31">
            <w:pPr>
              <w:widowControl w:val="0"/>
              <w:rPr>
                <w:sz w:val="16"/>
                <w:szCs w:val="16"/>
                <w:lang w:val="en-US" w:eastAsia="nl-NL"/>
              </w:rPr>
            </w:pPr>
            <w:r w:rsidRPr="006D35BB">
              <w:rPr>
                <w:sz w:val="16"/>
                <w:szCs w:val="16"/>
                <w:lang w:val="en-US" w:eastAsia="nl-NL"/>
              </w:rPr>
              <w:t>2.2.2-05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ED33A3A"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6D87A2" w14:textId="77777777"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F90D0C" w14:textId="77777777" w:rsidR="00820E31" w:rsidRPr="006D35BB" w:rsidRDefault="00820E31">
            <w:pPr>
              <w:widowControl w:val="0"/>
              <w:rPr>
                <w:rFonts w:eastAsia="Calibri"/>
                <w:sz w:val="16"/>
                <w:szCs w:val="16"/>
                <w:lang w:val="en-US"/>
              </w:rPr>
            </w:pPr>
            <w:r w:rsidRPr="006D35BB">
              <w:rPr>
                <w:rFonts w:eastAsia="Calibri"/>
                <w:sz w:val="16"/>
                <w:szCs w:val="16"/>
              </w:rPr>
              <w:t xml:space="preserve">Stability study of </w:t>
            </w:r>
            <w:proofErr w:type="spellStart"/>
            <w:r w:rsidRPr="006D35BB">
              <w:rPr>
                <w:rFonts w:eastAsia="Calibri"/>
                <w:sz w:val="16"/>
                <w:szCs w:val="16"/>
              </w:rPr>
              <w:t>Purox</w:t>
            </w:r>
            <w:proofErr w:type="spellEnd"/>
            <w:r w:rsidRPr="006D35BB">
              <w:rPr>
                <w:rFonts w:eastAsia="Calibri"/>
                <w:sz w:val="16"/>
                <w:szCs w:val="16"/>
                <w:vertAlign w:val="superscript"/>
              </w:rPr>
              <w:t>®</w:t>
            </w:r>
            <w:r w:rsidRPr="006D35BB">
              <w:rPr>
                <w:rFonts w:eastAsia="Calibri"/>
                <w:sz w:val="16"/>
                <w:szCs w:val="16"/>
              </w:rPr>
              <w:t xml:space="preserve"> sodium benzoate,  </w:t>
            </w:r>
            <w:proofErr w:type="spellStart"/>
            <w:r w:rsidRPr="006D35BB">
              <w:rPr>
                <w:rFonts w:eastAsia="Calibri"/>
                <w:sz w:val="16"/>
                <w:szCs w:val="16"/>
              </w:rPr>
              <w:t>Laboratorium</w:t>
            </w:r>
            <w:proofErr w:type="spellEnd"/>
            <w:r w:rsidRPr="006D35BB">
              <w:rPr>
                <w:rFonts w:eastAsia="Calibri"/>
                <w:sz w:val="16"/>
                <w:szCs w:val="16"/>
              </w:rPr>
              <w:t xml:space="preserve"> Emerald Kalama Chemicals BV, (rev. 21-11-2016)</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9764BDE"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A495A90"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B243B20"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7FD1B48"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40C7F22"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E761D5B"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4511C61"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p w14:paraId="06BA7382" w14:textId="77777777" w:rsidR="00820E31" w:rsidRPr="006D35BB" w:rsidRDefault="00820E31">
            <w:pPr>
              <w:widowControl w:val="0"/>
              <w:rPr>
                <w:rFonts w:eastAsia="Calibri"/>
                <w:sz w:val="16"/>
                <w:szCs w:val="16"/>
              </w:rPr>
            </w:pPr>
            <w:r w:rsidRPr="006D35BB">
              <w:rPr>
                <w:sz w:val="16"/>
                <w:szCs w:val="16"/>
                <w:lang w:val="en-US" w:eastAsia="nl-NL"/>
              </w:rPr>
              <w:t>(</w:t>
            </w:r>
            <w:r w:rsidRPr="006D35BB">
              <w:rPr>
                <w:rFonts w:eastAsia="Calibri"/>
                <w:sz w:val="16"/>
                <w:szCs w:val="16"/>
              </w:rPr>
              <w:t>DSM Special Products)</w:t>
            </w:r>
          </w:p>
        </w:tc>
      </w:tr>
      <w:tr w:rsidR="00820E31" w:rsidRPr="006D35BB" w14:paraId="5FCC1941"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A46FCF" w14:textId="77777777" w:rsidR="00820E31" w:rsidRPr="006D35BB" w:rsidRDefault="00820E31">
            <w:pPr>
              <w:widowControl w:val="0"/>
              <w:rPr>
                <w:sz w:val="16"/>
                <w:szCs w:val="16"/>
                <w:lang w:val="en-US" w:eastAsia="nl-NL"/>
              </w:rPr>
            </w:pPr>
            <w:r w:rsidRPr="006D35BB">
              <w:rPr>
                <w:sz w:val="16"/>
                <w:szCs w:val="16"/>
                <w:lang w:val="en-US" w:eastAsia="nl-NL"/>
              </w:rPr>
              <w:t>2.2.2-06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7625C5F"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7E923C" w14:textId="77777777"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9BCECF3" w14:textId="77777777" w:rsidR="00820E31" w:rsidRPr="006D35BB" w:rsidRDefault="00820E31">
            <w:pPr>
              <w:widowControl w:val="0"/>
              <w:rPr>
                <w:rFonts w:eastAsia="Calibri"/>
                <w:sz w:val="16"/>
                <w:szCs w:val="16"/>
              </w:rPr>
            </w:pPr>
            <w:r w:rsidRPr="006D35BB">
              <w:rPr>
                <w:rFonts w:eastAsia="Calibri"/>
                <w:sz w:val="16"/>
                <w:szCs w:val="16"/>
                <w:lang w:val="en-US"/>
              </w:rPr>
              <w:t xml:space="preserve">Stability study of </w:t>
            </w:r>
            <w:proofErr w:type="spellStart"/>
            <w:r w:rsidRPr="006D35BB">
              <w:rPr>
                <w:rFonts w:eastAsia="Calibri"/>
                <w:sz w:val="16"/>
                <w:szCs w:val="16"/>
                <w:lang w:val="en-US"/>
              </w:rPr>
              <w:t>Purox</w:t>
            </w:r>
            <w:proofErr w:type="spellEnd"/>
            <w:r w:rsidRPr="006D35BB">
              <w:rPr>
                <w:rFonts w:eastAsia="Calibri"/>
                <w:sz w:val="16"/>
                <w:szCs w:val="16"/>
                <w:vertAlign w:val="superscript"/>
                <w:lang w:val="en-US"/>
              </w:rPr>
              <w:t>®</w:t>
            </w:r>
            <w:r w:rsidRPr="006D35BB">
              <w:rPr>
                <w:rFonts w:eastAsia="Calibri"/>
                <w:sz w:val="16"/>
                <w:szCs w:val="16"/>
                <w:lang w:val="en-US"/>
              </w:rPr>
              <w:t xml:space="preserve"> sodium benzoate,  </w:t>
            </w:r>
            <w:proofErr w:type="spellStart"/>
            <w:r w:rsidRPr="006D35BB">
              <w:rPr>
                <w:rFonts w:eastAsia="Calibri"/>
                <w:sz w:val="16"/>
                <w:szCs w:val="16"/>
                <w:lang w:val="en-US"/>
              </w:rPr>
              <w:t>Laboratorium</w:t>
            </w:r>
            <w:proofErr w:type="spellEnd"/>
            <w:r w:rsidRPr="006D35BB">
              <w:rPr>
                <w:rFonts w:eastAsia="Calibri"/>
                <w:sz w:val="16"/>
                <w:szCs w:val="16"/>
                <w:lang w:val="en-US"/>
              </w:rPr>
              <w:t xml:space="preserve"> Emerald Kalama Chemicals BV, (04-07-2018)</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FDB0882"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0E24216"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30E1E30"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FA8C2E6"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49B285"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E525E4D"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F87C7A"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14:paraId="059520C7"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F1B0A6" w14:textId="77777777" w:rsidR="00820E31" w:rsidRPr="006D35BB" w:rsidRDefault="00820E31">
            <w:pPr>
              <w:widowControl w:val="0"/>
              <w:rPr>
                <w:sz w:val="16"/>
                <w:szCs w:val="16"/>
                <w:lang w:val="en-US" w:eastAsia="nl-NL"/>
              </w:rPr>
            </w:pPr>
            <w:r w:rsidRPr="006D35BB">
              <w:rPr>
                <w:sz w:val="16"/>
                <w:szCs w:val="16"/>
                <w:lang w:val="en-US" w:eastAsia="nl-NL"/>
              </w:rPr>
              <w:t>2.2.2-07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A12A892"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D9C1D5" w14:textId="77777777" w:rsidR="00820E31" w:rsidRPr="006D35BB" w:rsidRDefault="00820E31">
            <w:pPr>
              <w:widowControl w:val="0"/>
              <w:rPr>
                <w:sz w:val="16"/>
                <w:szCs w:val="16"/>
                <w:lang w:val="en-US" w:eastAsia="nl-NL"/>
              </w:rPr>
            </w:pPr>
            <w:r w:rsidRPr="006D35BB">
              <w:rPr>
                <w:sz w:val="16"/>
                <w:szCs w:val="16"/>
                <w:lang w:val="en-US" w:eastAsia="nl-NL"/>
              </w:rPr>
              <w:t>2015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4EDC538" w14:textId="77777777" w:rsidR="00820E31" w:rsidRPr="006D35BB" w:rsidRDefault="00820E31" w:rsidP="00224331">
            <w:pPr>
              <w:widowControl w:val="0"/>
              <w:rPr>
                <w:rFonts w:eastAsia="Calibri"/>
                <w:sz w:val="16"/>
                <w:szCs w:val="16"/>
              </w:rPr>
            </w:pPr>
            <w:r w:rsidRPr="006D35BB">
              <w:rPr>
                <w:rFonts w:eastAsia="Calibri"/>
                <w:sz w:val="16"/>
                <w:szCs w:val="16"/>
              </w:rPr>
              <w:t>Determination of the particle size distribution of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B3E210"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F46F3A"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F5C0819"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AF5CA8"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A826E00"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C2CF17"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8F7E12"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p w14:paraId="4FE454C6" w14:textId="77777777" w:rsidR="00820E31" w:rsidRPr="006D35BB" w:rsidRDefault="00820E31">
            <w:pPr>
              <w:widowControl w:val="0"/>
              <w:rPr>
                <w:rFonts w:eastAsia="Calibri"/>
                <w:sz w:val="16"/>
                <w:szCs w:val="16"/>
              </w:rPr>
            </w:pPr>
            <w:r w:rsidRPr="006D35BB">
              <w:rPr>
                <w:sz w:val="16"/>
                <w:szCs w:val="16"/>
                <w:lang w:val="en-US" w:eastAsia="nl-NL"/>
              </w:rPr>
              <w:t>(</w:t>
            </w:r>
            <w:r w:rsidRPr="006D35BB">
              <w:rPr>
                <w:rFonts w:eastAsia="Calibri"/>
                <w:sz w:val="16"/>
                <w:szCs w:val="16"/>
              </w:rPr>
              <w:t>DSM Special Products)</w:t>
            </w:r>
          </w:p>
        </w:tc>
      </w:tr>
      <w:tr w:rsidR="00820E31" w:rsidRPr="006D35BB" w14:paraId="78F8BFC0"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5171489" w14:textId="77777777" w:rsidR="00820E31" w:rsidRPr="006D35BB" w:rsidRDefault="00820E31">
            <w:pPr>
              <w:widowControl w:val="0"/>
              <w:rPr>
                <w:sz w:val="16"/>
                <w:szCs w:val="16"/>
                <w:lang w:val="en-US" w:eastAsia="nl-NL"/>
              </w:rPr>
            </w:pPr>
            <w:r w:rsidRPr="006D35BB">
              <w:rPr>
                <w:sz w:val="16"/>
                <w:szCs w:val="16"/>
                <w:lang w:val="en-US" w:eastAsia="nl-NL"/>
              </w:rPr>
              <w:t>2.2.3-01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7BA5FC"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F9B82B3" w14:textId="77777777"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BF1D1D0" w14:textId="77777777" w:rsidR="00820E31" w:rsidRPr="006D35BB" w:rsidRDefault="00820E31" w:rsidP="006501C5">
            <w:pPr>
              <w:widowControl w:val="0"/>
              <w:rPr>
                <w:rFonts w:eastAsia="Calibri"/>
                <w:sz w:val="16"/>
                <w:szCs w:val="16"/>
                <w:lang w:val="en-US"/>
              </w:rPr>
            </w:pPr>
            <w:proofErr w:type="spellStart"/>
            <w:r w:rsidRPr="006D35BB">
              <w:rPr>
                <w:rFonts w:eastAsia="Calibri"/>
                <w:sz w:val="16"/>
                <w:szCs w:val="16"/>
                <w:lang w:val="en-US"/>
              </w:rPr>
              <w:t>Purox</w:t>
            </w:r>
            <w:proofErr w:type="spellEnd"/>
            <w:r w:rsidRPr="006D35BB">
              <w:rPr>
                <w:rFonts w:eastAsia="Calibri"/>
                <w:sz w:val="16"/>
                <w:szCs w:val="16"/>
                <w:lang w:val="en-US"/>
              </w:rPr>
              <w:t xml:space="preserve"> S:</w:t>
            </w:r>
          </w:p>
          <w:p w14:paraId="770AE8A8" w14:textId="77777777" w:rsidR="00820E31" w:rsidRPr="006D35BB" w:rsidRDefault="00820E31" w:rsidP="006501C5">
            <w:pPr>
              <w:widowControl w:val="0"/>
              <w:rPr>
                <w:rFonts w:eastAsia="Calibri"/>
                <w:sz w:val="16"/>
                <w:szCs w:val="16"/>
                <w:lang w:val="en-US"/>
              </w:rPr>
            </w:pPr>
            <w:r w:rsidRPr="006D35BB">
              <w:rPr>
                <w:rFonts w:eastAsia="Calibri"/>
                <w:sz w:val="16"/>
                <w:szCs w:val="16"/>
                <w:lang w:val="en-US"/>
              </w:rPr>
              <w:t>Preliminary Analysis and Enforcement Analytical Method</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8C7BE6"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07A24F6" w14:textId="77777777"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E8B554" w14:textId="77777777" w:rsidR="00820E31" w:rsidRPr="006D35BB" w:rsidRDefault="00820E31">
            <w:pPr>
              <w:widowControl w:val="0"/>
              <w:rPr>
                <w:sz w:val="16"/>
                <w:szCs w:val="16"/>
                <w:lang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28127B1"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FDC726A"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71E206E"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CEF73A" w14:textId="77777777" w:rsidR="00820E31" w:rsidRPr="006D35BB" w:rsidRDefault="00820E31" w:rsidP="006501C5">
            <w:pPr>
              <w:widowControl w:val="0"/>
              <w:rPr>
                <w:sz w:val="16"/>
                <w:szCs w:val="16"/>
                <w:lang w:val="en-US" w:eastAsia="nl-NL"/>
              </w:rPr>
            </w:pPr>
            <w:r w:rsidRPr="006D35BB">
              <w:rPr>
                <w:sz w:val="16"/>
                <w:szCs w:val="16"/>
                <w:lang w:val="en-US" w:eastAsia="nl-NL"/>
              </w:rPr>
              <w:t>Emerald Kalama Chemical</w:t>
            </w:r>
          </w:p>
          <w:p w14:paraId="33EF28B0" w14:textId="77777777" w:rsidR="00820E31" w:rsidRPr="006D35BB" w:rsidRDefault="00820E31">
            <w:pPr>
              <w:widowControl w:val="0"/>
              <w:rPr>
                <w:sz w:val="16"/>
                <w:szCs w:val="16"/>
                <w:lang w:val="en-US" w:eastAsia="nl-NL"/>
              </w:rPr>
            </w:pPr>
          </w:p>
        </w:tc>
      </w:tr>
      <w:tr w:rsidR="00820E31" w:rsidRPr="006D35BB" w14:paraId="50EE24DE"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E12474" w14:textId="77777777" w:rsidR="00820E31" w:rsidRPr="006D35BB" w:rsidRDefault="00820E31">
            <w:pPr>
              <w:widowControl w:val="0"/>
              <w:rPr>
                <w:sz w:val="16"/>
                <w:szCs w:val="16"/>
                <w:lang w:val="en-US" w:eastAsia="nl-NL"/>
              </w:rPr>
            </w:pPr>
            <w:r w:rsidRPr="006D35BB">
              <w:rPr>
                <w:sz w:val="16"/>
                <w:szCs w:val="16"/>
                <w:lang w:val="en-US" w:eastAsia="nl-NL"/>
              </w:rPr>
              <w:t>2.2.5.4-1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407225"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C67E6F5" w14:textId="77777777" w:rsidR="00820E31" w:rsidRPr="006D35BB" w:rsidRDefault="00820E31">
            <w:pPr>
              <w:widowControl w:val="0"/>
              <w:rPr>
                <w:sz w:val="16"/>
                <w:szCs w:val="16"/>
                <w:lang w:val="en-US" w:eastAsia="nl-NL"/>
              </w:rPr>
            </w:pPr>
            <w:r w:rsidRPr="006D35BB">
              <w:rPr>
                <w:sz w:val="16"/>
                <w:szCs w:val="16"/>
                <w:lang w:val="en-US" w:eastAsia="nl-NL"/>
              </w:rPr>
              <w:t>2007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1425F5" w14:textId="77777777" w:rsidR="00820E31" w:rsidRPr="006D35BB" w:rsidRDefault="00820E31">
            <w:pPr>
              <w:widowControl w:val="0"/>
              <w:rPr>
                <w:sz w:val="16"/>
                <w:szCs w:val="16"/>
                <w:lang w:val="en-US" w:eastAsia="nl-NL"/>
              </w:rPr>
            </w:pPr>
            <w:r w:rsidRPr="006D35BB">
              <w:rPr>
                <w:sz w:val="16"/>
                <w:szCs w:val="16"/>
                <w:lang w:val="en-US" w:eastAsia="nl-NL"/>
              </w:rPr>
              <w:t>Mitochondrial uncouplers with an extraordinary dynamic range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50129DC"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8AF8827"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0738F4"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D20BAFC"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BB2474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65B188"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5588B8B"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5D02C20C"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093C87" w14:textId="77777777" w:rsidR="00820E31" w:rsidRPr="006D35BB" w:rsidRDefault="00820E31">
            <w:pPr>
              <w:widowControl w:val="0"/>
              <w:rPr>
                <w:sz w:val="16"/>
                <w:szCs w:val="16"/>
                <w:lang w:val="en-US" w:eastAsia="nl-NL"/>
              </w:rPr>
            </w:pPr>
            <w:r w:rsidRPr="006D35BB">
              <w:rPr>
                <w:sz w:val="16"/>
                <w:szCs w:val="16"/>
                <w:lang w:val="en-US" w:eastAsia="nl-NL"/>
              </w:rPr>
              <w:lastRenderedPageBreak/>
              <w:t>2.2.5.4-1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63E5C1"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71E75D" w14:textId="77777777" w:rsidR="00820E31" w:rsidRPr="006D35BB" w:rsidRDefault="00820E31">
            <w:pPr>
              <w:widowControl w:val="0"/>
              <w:rPr>
                <w:sz w:val="16"/>
                <w:szCs w:val="16"/>
                <w:lang w:val="en-US" w:eastAsia="nl-NL"/>
              </w:rPr>
            </w:pPr>
            <w:r w:rsidRPr="006D35BB">
              <w:rPr>
                <w:sz w:val="16"/>
                <w:szCs w:val="16"/>
                <w:lang w:val="en-US" w:eastAsia="nl-NL"/>
              </w:rPr>
              <w:t>2001</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C5DB35" w14:textId="77777777" w:rsidR="00820E31" w:rsidRPr="006D35BB" w:rsidRDefault="00820E31">
            <w:pPr>
              <w:widowControl w:val="0"/>
              <w:rPr>
                <w:sz w:val="16"/>
                <w:szCs w:val="16"/>
                <w:lang w:val="en-US" w:eastAsia="nl-NL"/>
              </w:rPr>
            </w:pPr>
            <w:r w:rsidRPr="006D35BB">
              <w:rPr>
                <w:sz w:val="16"/>
                <w:szCs w:val="16"/>
                <w:lang w:val="en-US" w:eastAsia="nl-NL"/>
              </w:rPr>
              <w:t>The Surface Charge of the</w:t>
            </w:r>
          </w:p>
          <w:p w14:paraId="64778D58" w14:textId="77777777" w:rsidR="00820E31" w:rsidRPr="006D35BB" w:rsidRDefault="00820E31">
            <w:pPr>
              <w:widowControl w:val="0"/>
              <w:rPr>
                <w:sz w:val="16"/>
                <w:szCs w:val="16"/>
                <w:lang w:val="en-US" w:eastAsia="nl-NL"/>
              </w:rPr>
            </w:pPr>
            <w:r w:rsidRPr="006D35BB">
              <w:rPr>
                <w:sz w:val="16"/>
                <w:szCs w:val="16"/>
                <w:lang w:val="en-US" w:eastAsia="nl-NL"/>
              </w:rPr>
              <w:t xml:space="preserve">Bacterial Isolates from Orange Drinks.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9764401"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91BCECE"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D972A7"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1044E2"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2F989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FE013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981A0CD"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54B2359E"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DB1D93" w14:textId="77777777" w:rsidR="00820E31" w:rsidRPr="006D35BB" w:rsidRDefault="00820E31">
            <w:pPr>
              <w:widowControl w:val="0"/>
              <w:rPr>
                <w:sz w:val="16"/>
                <w:szCs w:val="16"/>
                <w:lang w:val="en-US" w:eastAsia="nl-NL"/>
              </w:rPr>
            </w:pPr>
            <w:r w:rsidRPr="006D35BB">
              <w:rPr>
                <w:sz w:val="16"/>
                <w:szCs w:val="16"/>
                <w:lang w:val="en-US" w:eastAsia="nl-NL"/>
              </w:rPr>
              <w:t>2.2.5.5-1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A0A7AB9"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F1301BF" w14:textId="77777777"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736BD81" w14:textId="77777777"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w:t>
            </w:r>
            <w:proofErr w:type="spellStart"/>
            <w:r w:rsidRPr="006D35BB">
              <w:rPr>
                <w:sz w:val="16"/>
                <w:szCs w:val="16"/>
                <w:lang w:val="en-US" w:eastAsia="nl-NL"/>
              </w:rPr>
              <w:t>Kalaguard</w:t>
            </w:r>
            <w:proofErr w:type="spellEnd"/>
            <w:r w:rsidRPr="006D35BB">
              <w:rPr>
                <w:sz w:val="16"/>
                <w:szCs w:val="16"/>
                <w:lang w:val="en-US" w:eastAsia="nl-NL"/>
              </w:rPr>
              <w:t>® SB sodium benzoate in tryptic soy broth</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A10AB6B"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C8D127E"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0B57D2"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D34EA48"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0CA19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99F60F0"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256BD8B"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14:paraId="0E894ECA"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3BFCA1D" w14:textId="77777777" w:rsidR="00820E31" w:rsidRPr="006D35BB" w:rsidRDefault="00820E31">
            <w:pPr>
              <w:widowControl w:val="0"/>
              <w:rPr>
                <w:sz w:val="16"/>
                <w:szCs w:val="16"/>
                <w:lang w:val="en-US" w:eastAsia="nl-NL"/>
              </w:rPr>
            </w:pPr>
            <w:r w:rsidRPr="006D35BB">
              <w:rPr>
                <w:sz w:val="16"/>
                <w:szCs w:val="16"/>
                <w:lang w:val="en-US" w:eastAsia="nl-NL"/>
              </w:rPr>
              <w:t>2.2.5.5-5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B99199"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139D56" w14:textId="77777777"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879E5F" w14:textId="77777777" w:rsidR="00820E31" w:rsidRPr="006D35BB" w:rsidRDefault="00820E31">
            <w:pPr>
              <w:widowControl w:val="0"/>
              <w:rPr>
                <w:sz w:val="16"/>
                <w:szCs w:val="16"/>
                <w:lang w:val="en-US" w:eastAsia="nl-NL"/>
              </w:rPr>
            </w:pPr>
            <w:r w:rsidRPr="006D35BB">
              <w:rPr>
                <w:sz w:val="16"/>
                <w:szCs w:val="16"/>
                <w:lang w:val="en-US" w:eastAsia="nl-NL"/>
              </w:rPr>
              <w:t>Unilever Research &amp; Development – Supporting Evidence of the Preservative Efficacy of Sodium Benzoate in Hand Dish Wash Liquid (HDWL) Using Unilever Challenge Test Method</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D369D8"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905A50"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E5768C"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0019746"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153E0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F99E70"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3FE6E2" w14:textId="77777777" w:rsidR="00820E31" w:rsidRPr="006D35BB" w:rsidRDefault="00820E31">
            <w:pPr>
              <w:widowControl w:val="0"/>
              <w:rPr>
                <w:sz w:val="16"/>
                <w:szCs w:val="16"/>
                <w:lang w:val="en-US" w:eastAsia="nl-NL"/>
              </w:rPr>
            </w:pPr>
            <w:r w:rsidRPr="006D35BB">
              <w:rPr>
                <w:sz w:val="16"/>
                <w:szCs w:val="16"/>
                <w:lang w:val="en-US" w:eastAsia="nl-NL"/>
              </w:rPr>
              <w:t>Unilever U.K. Central Resources Limited</w:t>
            </w:r>
          </w:p>
        </w:tc>
      </w:tr>
      <w:tr w:rsidR="00820E31" w:rsidRPr="006D35BB" w14:paraId="68EA93F5"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A047F7" w14:textId="77777777" w:rsidR="00820E31" w:rsidRPr="006D35BB" w:rsidRDefault="00820E31">
            <w:pPr>
              <w:widowControl w:val="0"/>
              <w:rPr>
                <w:sz w:val="16"/>
                <w:szCs w:val="16"/>
                <w:lang w:val="en-US" w:eastAsia="nl-NL"/>
              </w:rPr>
            </w:pPr>
            <w:r w:rsidRPr="006D35BB">
              <w:rPr>
                <w:sz w:val="16"/>
                <w:szCs w:val="16"/>
                <w:lang w:val="en-US" w:eastAsia="nl-NL"/>
              </w:rPr>
              <w:t>2.2.5.5-6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3F5AB7E"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2C0D5AC" w14:textId="77777777"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D1D33F" w14:textId="77777777"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 sodium benzoate in non-ionic surfactant system</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EA1CE5C"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767B4A"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C646D85"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CA6487"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67F676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ADFA5D"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D6A7A82" w14:textId="77777777" w:rsidR="00820E31" w:rsidRPr="006D35BB" w:rsidRDefault="00820E31">
            <w:pPr>
              <w:widowControl w:val="0"/>
              <w:rPr>
                <w:sz w:val="16"/>
                <w:szCs w:val="16"/>
                <w:lang w:val="en-US" w:eastAsia="nl-NL"/>
              </w:rPr>
            </w:pPr>
            <w:r w:rsidRPr="006D35BB">
              <w:rPr>
                <w:sz w:val="16"/>
                <w:szCs w:val="16"/>
                <w:lang w:val="en-US" w:eastAsia="nl-NL"/>
              </w:rPr>
              <w:t xml:space="preserve">Emerald Kalama Chemical </w:t>
            </w:r>
          </w:p>
        </w:tc>
      </w:tr>
      <w:tr w:rsidR="00820E31" w:rsidRPr="006D35BB" w14:paraId="2144B86B"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3B1555" w14:textId="77777777" w:rsidR="00820E31" w:rsidRPr="006D35BB" w:rsidRDefault="00820E31">
            <w:pPr>
              <w:widowControl w:val="0"/>
              <w:rPr>
                <w:sz w:val="16"/>
                <w:szCs w:val="16"/>
                <w:lang w:val="en-US" w:eastAsia="nl-NL"/>
              </w:rPr>
            </w:pPr>
            <w:r w:rsidRPr="006D35BB">
              <w:rPr>
                <w:sz w:val="16"/>
                <w:szCs w:val="16"/>
                <w:lang w:val="en-US" w:eastAsia="nl-NL"/>
              </w:rPr>
              <w:t>2.2.5.5-7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7AE084B"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80D162" w14:textId="77777777"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ED4F8E" w14:textId="77777777"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w:t>
            </w:r>
            <w:proofErr w:type="spellStart"/>
            <w:r w:rsidRPr="006D35BB">
              <w:rPr>
                <w:sz w:val="16"/>
                <w:szCs w:val="16"/>
                <w:lang w:val="en-US" w:eastAsia="nl-NL"/>
              </w:rPr>
              <w:t>Kalaguard</w:t>
            </w:r>
            <w:proofErr w:type="spellEnd"/>
            <w:r w:rsidRPr="006D35BB">
              <w:rPr>
                <w:sz w:val="16"/>
                <w:szCs w:val="16"/>
                <w:lang w:val="en-US" w:eastAsia="nl-NL"/>
              </w:rPr>
              <w:t>® SB sodium benzoate in non-ionic surfactant system</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11C1D8"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D464B58"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CC53A92"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564D771"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A9F32D"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AE2D91E"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BB03096" w14:textId="77777777" w:rsidR="00820E31" w:rsidRPr="006D35BB" w:rsidRDefault="00820E31">
            <w:pPr>
              <w:widowControl w:val="0"/>
              <w:rPr>
                <w:sz w:val="16"/>
                <w:szCs w:val="16"/>
                <w:lang w:val="en-US" w:eastAsia="nl-NL"/>
              </w:rPr>
            </w:pPr>
            <w:r w:rsidRPr="006D35BB">
              <w:rPr>
                <w:sz w:val="16"/>
                <w:szCs w:val="16"/>
                <w:lang w:val="en-US" w:eastAsia="nl-NL"/>
              </w:rPr>
              <w:t xml:space="preserve">Emerald Kalama Chemical </w:t>
            </w:r>
          </w:p>
        </w:tc>
      </w:tr>
      <w:tr w:rsidR="00820E31" w:rsidRPr="006D35BB" w14:paraId="1A15B26E"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463B71D" w14:textId="77777777" w:rsidR="00820E31" w:rsidRPr="006D35BB" w:rsidRDefault="00820E31">
            <w:pPr>
              <w:widowControl w:val="0"/>
              <w:rPr>
                <w:sz w:val="16"/>
                <w:szCs w:val="16"/>
                <w:lang w:val="en-US" w:eastAsia="nl-NL"/>
              </w:rPr>
            </w:pPr>
            <w:r w:rsidRPr="006D35BB">
              <w:rPr>
                <w:sz w:val="16"/>
                <w:szCs w:val="16"/>
                <w:lang w:val="en-US" w:eastAsia="nl-NL"/>
              </w:rPr>
              <w:t>2.2.5.5-8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74AFFF"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790A904" w14:textId="77777777" w:rsidR="00820E31" w:rsidRPr="006D35BB" w:rsidRDefault="00820E31">
            <w:pPr>
              <w:widowControl w:val="0"/>
              <w:rPr>
                <w:sz w:val="16"/>
                <w:szCs w:val="16"/>
                <w:lang w:val="en-US" w:eastAsia="nl-NL"/>
              </w:rPr>
            </w:pPr>
            <w:r w:rsidRPr="006D35BB">
              <w:rPr>
                <w:sz w:val="16"/>
                <w:szCs w:val="16"/>
                <w:lang w:val="en-US" w:eastAsia="nl-NL"/>
              </w:rPr>
              <w:t>1997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3B1076D" w14:textId="77777777" w:rsidR="00820E31" w:rsidRPr="006D35BB" w:rsidRDefault="00820E31">
            <w:pPr>
              <w:widowControl w:val="0"/>
              <w:rPr>
                <w:sz w:val="16"/>
                <w:szCs w:val="16"/>
                <w:lang w:val="en-US" w:eastAsia="nl-NL"/>
              </w:rPr>
            </w:pPr>
            <w:r w:rsidRPr="006D35BB">
              <w:rPr>
                <w:sz w:val="16"/>
                <w:szCs w:val="16"/>
                <w:lang w:val="en-US" w:eastAsia="nl-NL"/>
              </w:rPr>
              <w:t>Preservative-free and self-preserving cosmetics and drugs: principles and practices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9769593"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554EBFE"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EE1C9A"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ACC3C07" w14:textId="77777777"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27AA98" w14:textId="77777777"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C838B9" w14:textId="77777777"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034F131"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1E59DA16"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6AE054" w14:textId="77777777" w:rsidR="00820E31" w:rsidRPr="006D35BB" w:rsidRDefault="00820E31">
            <w:pPr>
              <w:widowControl w:val="0"/>
              <w:rPr>
                <w:sz w:val="16"/>
                <w:szCs w:val="16"/>
                <w:lang w:val="en-US" w:eastAsia="nl-NL"/>
              </w:rPr>
            </w:pPr>
            <w:r w:rsidRPr="006D35BB">
              <w:rPr>
                <w:sz w:val="16"/>
                <w:szCs w:val="16"/>
                <w:lang w:val="en-US" w:eastAsia="nl-NL"/>
              </w:rPr>
              <w:t>2.2.6.1-1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2CE377"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1F03C1" w14:textId="77777777" w:rsidR="00820E31" w:rsidRPr="006D35BB" w:rsidRDefault="00820E31">
            <w:pPr>
              <w:widowControl w:val="0"/>
              <w:rPr>
                <w:sz w:val="16"/>
                <w:szCs w:val="16"/>
                <w:lang w:val="en-US" w:eastAsia="nl-NL"/>
              </w:rPr>
            </w:pPr>
            <w:r w:rsidRPr="006D35BB">
              <w:rPr>
                <w:sz w:val="16"/>
                <w:szCs w:val="16"/>
                <w:lang w:val="en-US"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DFCD70" w14:textId="77777777" w:rsidR="00820E31" w:rsidRPr="006D35BB" w:rsidRDefault="00820E31">
            <w:pPr>
              <w:widowControl w:val="0"/>
              <w:rPr>
                <w:sz w:val="16"/>
                <w:szCs w:val="16"/>
                <w:lang w:val="en-US" w:eastAsia="nl-NL"/>
              </w:rPr>
            </w:pPr>
            <w:r w:rsidRPr="006D35BB">
              <w:rPr>
                <w:sz w:val="16"/>
                <w:szCs w:val="16"/>
                <w:lang w:val="en-US" w:eastAsia="nl-NL"/>
              </w:rPr>
              <w:t>Primary skin irritation/corrosion study with natrium benzoate in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D94916"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FD58D29"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E953243" w14:textId="77777777"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CB6226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252E98A"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D63358"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7C7324" w14:textId="77777777" w:rsidR="00820E31" w:rsidRPr="006D35BB" w:rsidRDefault="00820E31">
            <w:pPr>
              <w:widowControl w:val="0"/>
              <w:rPr>
                <w:color w:val="FF0000"/>
                <w:sz w:val="16"/>
                <w:szCs w:val="16"/>
                <w:lang w:val="en-US" w:eastAsia="nl-NL"/>
              </w:rPr>
            </w:pPr>
            <w:r w:rsidRPr="006D35BB">
              <w:rPr>
                <w:sz w:val="16"/>
                <w:szCs w:val="16"/>
                <w:lang w:val="en-US" w:eastAsia="nl-NL"/>
              </w:rPr>
              <w:t>Emerald Kalama Chemical</w:t>
            </w:r>
          </w:p>
        </w:tc>
      </w:tr>
      <w:tr w:rsidR="00820E31" w:rsidRPr="006D35BB" w14:paraId="04BD6A0B"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1045B2" w14:textId="77777777" w:rsidR="00820E31" w:rsidRPr="006D35BB" w:rsidRDefault="00820E31">
            <w:pPr>
              <w:widowControl w:val="0"/>
              <w:rPr>
                <w:sz w:val="16"/>
                <w:szCs w:val="16"/>
                <w:lang w:val="en-US" w:eastAsia="nl-NL"/>
              </w:rPr>
            </w:pPr>
            <w:r w:rsidRPr="006D35BB">
              <w:rPr>
                <w:sz w:val="16"/>
                <w:szCs w:val="16"/>
                <w:lang w:val="en-US" w:eastAsia="nl-NL"/>
              </w:rPr>
              <w:t>2.2.6.1-2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4EC2DA"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F95E6C3" w14:textId="77777777" w:rsidR="00820E31" w:rsidRPr="006D35BB" w:rsidRDefault="00820E31">
            <w:pPr>
              <w:widowControl w:val="0"/>
              <w:rPr>
                <w:sz w:val="16"/>
                <w:szCs w:val="16"/>
                <w:lang w:val="en-US" w:eastAsia="nl-NL"/>
              </w:rPr>
            </w:pPr>
            <w:r w:rsidRPr="006D35BB">
              <w:rPr>
                <w:sz w:val="16"/>
                <w:szCs w:val="16"/>
                <w:lang w:val="en-US"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4C277D8" w14:textId="77777777" w:rsidR="00820E31" w:rsidRPr="006D35BB" w:rsidRDefault="00820E31">
            <w:pPr>
              <w:widowControl w:val="0"/>
              <w:rPr>
                <w:sz w:val="16"/>
                <w:szCs w:val="16"/>
                <w:lang w:val="en-US" w:eastAsia="nl-NL"/>
              </w:rPr>
            </w:pPr>
            <w:r w:rsidRPr="006D35BB">
              <w:rPr>
                <w:sz w:val="16"/>
                <w:szCs w:val="16"/>
                <w:lang w:val="en-US" w:eastAsia="nl-NL"/>
              </w:rPr>
              <w:t>Acute eye irritation/corrosion study with Natrium benzoate in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37C6B5E"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72FBD15"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D75907E" w14:textId="77777777"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234FEA6"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1A0E16"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09B050F"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1DEA97" w14:textId="77777777" w:rsidR="00820E31" w:rsidRPr="006D35BB" w:rsidRDefault="00820E31">
            <w:pPr>
              <w:widowControl w:val="0"/>
              <w:rPr>
                <w:color w:val="FF0000"/>
                <w:sz w:val="16"/>
                <w:szCs w:val="16"/>
                <w:lang w:val="en-US" w:eastAsia="nl-NL"/>
              </w:rPr>
            </w:pPr>
            <w:r w:rsidRPr="006D35BB">
              <w:rPr>
                <w:sz w:val="16"/>
                <w:szCs w:val="16"/>
                <w:lang w:val="en-US" w:eastAsia="nl-NL"/>
              </w:rPr>
              <w:t>Emerald Kalama Chemical</w:t>
            </w:r>
          </w:p>
        </w:tc>
      </w:tr>
      <w:tr w:rsidR="00820E31" w:rsidRPr="006D35BB" w14:paraId="6C7D6318"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199CA89" w14:textId="77777777" w:rsidR="00820E31" w:rsidRPr="006D35BB" w:rsidRDefault="00820E31">
            <w:pPr>
              <w:widowControl w:val="0"/>
              <w:rPr>
                <w:sz w:val="16"/>
                <w:szCs w:val="16"/>
                <w:lang w:val="en-US" w:eastAsia="nl-NL"/>
              </w:rPr>
            </w:pPr>
            <w:r w:rsidRPr="006D35BB">
              <w:rPr>
                <w:sz w:val="16"/>
                <w:szCs w:val="16"/>
                <w:lang w:val="en-US" w:eastAsia="nl-NL"/>
              </w:rPr>
              <w:t>2.2.6.1-3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FBDFDC" w14:textId="77777777"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C7B896" w14:textId="77777777" w:rsidR="00820E31" w:rsidRPr="006D35BB" w:rsidRDefault="00820E31">
            <w:pPr>
              <w:widowControl w:val="0"/>
              <w:rPr>
                <w:sz w:val="16"/>
                <w:szCs w:val="16"/>
                <w:lang w:val="en-US" w:eastAsia="nl-NL"/>
              </w:rPr>
            </w:pPr>
            <w:r w:rsidRPr="006D35BB">
              <w:rPr>
                <w:sz w:val="16"/>
                <w:szCs w:val="16"/>
                <w:lang w:val="en-US" w:eastAsia="nl-NL"/>
              </w:rPr>
              <w:t>1992</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9013F23" w14:textId="77777777" w:rsidR="00820E31" w:rsidRPr="006D35BB" w:rsidRDefault="00820E31">
            <w:pPr>
              <w:widowControl w:val="0"/>
              <w:rPr>
                <w:sz w:val="16"/>
                <w:szCs w:val="16"/>
                <w:lang w:val="en-US" w:eastAsia="nl-NL"/>
              </w:rPr>
            </w:pPr>
            <w:r w:rsidRPr="006D35BB">
              <w:rPr>
                <w:sz w:val="16"/>
                <w:szCs w:val="16"/>
                <w:lang w:val="en-US" w:eastAsia="nl-NL"/>
              </w:rPr>
              <w:t xml:space="preserve">Examination of the local lymph node assay for use in contact sensitization risk assessment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E00A16" w14:textId="77777777"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EFEF2C" w14:textId="77777777"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FB72428"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F2DCB5"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0A10B7"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4300F9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D26519"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CF59EF" w:rsidRPr="006D35BB" w14:paraId="5B1F259B"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4F88F4" w14:textId="77777777" w:rsidR="00CF59EF" w:rsidRPr="006D35BB" w:rsidRDefault="000B5D37">
            <w:pPr>
              <w:widowControl w:val="0"/>
              <w:rPr>
                <w:sz w:val="16"/>
                <w:szCs w:val="16"/>
                <w:lang w:val="en-US" w:eastAsia="nl-NL"/>
              </w:rPr>
            </w:pPr>
            <w:r w:rsidRPr="006D35BB">
              <w:rPr>
                <w:sz w:val="16"/>
                <w:szCs w:val="16"/>
                <w:lang w:val="en-US" w:eastAsia="nl-NL"/>
              </w:rPr>
              <w:t>2.2.6.1-4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345CE96" w14:textId="77777777" w:rsidR="00CF59EF" w:rsidRPr="006D35BB" w:rsidRDefault="00820E31">
            <w:pPr>
              <w:widowControl w:val="0"/>
              <w:rPr>
                <w:sz w:val="16"/>
                <w:szCs w:val="16"/>
                <w:lang w:val="nl-NL"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131115" w14:textId="77777777" w:rsidR="00CF59EF" w:rsidRPr="006D35BB" w:rsidRDefault="000B5D37">
            <w:pPr>
              <w:widowControl w:val="0"/>
              <w:rPr>
                <w:sz w:val="16"/>
                <w:szCs w:val="16"/>
                <w:lang w:val="en-US" w:eastAsia="nl-NL"/>
              </w:rPr>
            </w:pPr>
            <w:r w:rsidRPr="006D35BB">
              <w:rPr>
                <w:sz w:val="16"/>
                <w:szCs w:val="16"/>
                <w:lang w:val="en-US" w:eastAsia="nl-NL"/>
              </w:rPr>
              <w:t>1974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E831C22" w14:textId="77777777" w:rsidR="00CF59EF" w:rsidRPr="006D35BB" w:rsidRDefault="000B5D37">
            <w:pPr>
              <w:widowControl w:val="0"/>
              <w:rPr>
                <w:sz w:val="16"/>
                <w:szCs w:val="16"/>
                <w:lang w:val="en-US" w:eastAsia="nl-NL"/>
              </w:rPr>
            </w:pPr>
            <w:r w:rsidRPr="006D35BB">
              <w:rPr>
                <w:sz w:val="16"/>
                <w:szCs w:val="16"/>
                <w:lang w:val="en-US" w:eastAsia="nl-NL"/>
              </w:rPr>
              <w:t>Mutagenic evaluation of compound FDA 71-37,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DB3C77" w14:textId="77777777" w:rsidR="00CF59EF" w:rsidRPr="006D35BB" w:rsidRDefault="00CF59EF">
            <w:pPr>
              <w:widowControl w:val="0"/>
              <w:rPr>
                <w:sz w:val="16"/>
                <w:szCs w:val="16"/>
                <w:lang w:val="en-US" w:eastAsia="nl-NL"/>
              </w:rPr>
            </w:pPr>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AB5B4D" w14:textId="77777777" w:rsidR="00CF59EF" w:rsidRPr="006D35BB" w:rsidRDefault="00820E31">
            <w:pPr>
              <w:spacing w:before="60" w:after="60"/>
              <w:rPr>
                <w:sz w:val="16"/>
                <w:szCs w:val="16"/>
                <w:lang w:val="en-US"/>
              </w:rPr>
            </w:pPr>
            <w:proofErr w:type="spellStart"/>
            <w:r w:rsidRPr="002F4C58">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DA6A0B" w14:textId="77777777" w:rsidR="00CF59EF" w:rsidRPr="006D35BB" w:rsidRDefault="000B5D37">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23165D" w14:textId="77777777" w:rsidR="00CF59EF" w:rsidRPr="006D35BB" w:rsidRDefault="000B5D37">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1DDD0E" w14:textId="77777777" w:rsidR="00CF59EF" w:rsidRPr="006D35BB" w:rsidRDefault="000B5D37">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B631E2" w14:textId="77777777" w:rsidR="00CF59EF" w:rsidRPr="006D35BB" w:rsidRDefault="000B5D37">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EA4961A" w14:textId="77777777" w:rsidR="00CF59EF" w:rsidRPr="006D35BB" w:rsidRDefault="000B5D37">
            <w:pPr>
              <w:widowControl w:val="0"/>
              <w:rPr>
                <w:sz w:val="16"/>
                <w:szCs w:val="16"/>
                <w:lang w:val="en-US" w:eastAsia="nl-NL"/>
              </w:rPr>
            </w:pPr>
            <w:r w:rsidRPr="006D35BB">
              <w:rPr>
                <w:sz w:val="16"/>
                <w:szCs w:val="16"/>
                <w:lang w:val="en-US" w:eastAsia="nl-NL"/>
              </w:rPr>
              <w:t>Data published</w:t>
            </w:r>
          </w:p>
        </w:tc>
      </w:tr>
      <w:tr w:rsidR="00820E31" w:rsidRPr="006D35BB" w14:paraId="4F25BCE3"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4F2940F" w14:textId="77777777" w:rsidR="00820E31" w:rsidRPr="006D35BB" w:rsidRDefault="00820E31">
            <w:pPr>
              <w:widowControl w:val="0"/>
              <w:rPr>
                <w:sz w:val="16"/>
                <w:szCs w:val="16"/>
                <w:lang w:val="en-US" w:eastAsia="nl-NL"/>
              </w:rPr>
            </w:pPr>
            <w:r w:rsidRPr="006D35BB">
              <w:rPr>
                <w:sz w:val="16"/>
                <w:szCs w:val="16"/>
                <w:lang w:val="en-US" w:eastAsia="nl-NL"/>
              </w:rPr>
              <w:lastRenderedPageBreak/>
              <w:t>2.2.6.1-5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26DABD"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2A275F3" w14:textId="77777777" w:rsidR="00820E31" w:rsidRPr="006D35BB" w:rsidRDefault="00820E31">
            <w:pPr>
              <w:widowControl w:val="0"/>
              <w:rPr>
                <w:sz w:val="16"/>
                <w:szCs w:val="16"/>
                <w:lang w:val="en-US" w:eastAsia="nl-NL"/>
              </w:rPr>
            </w:pPr>
            <w:r w:rsidRPr="006D35BB">
              <w:rPr>
                <w:sz w:val="16"/>
                <w:szCs w:val="16"/>
                <w:lang w:val="en-US" w:eastAsia="nl-NL"/>
              </w:rPr>
              <w:t>2005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93DDB2" w14:textId="77777777" w:rsidR="00820E31" w:rsidRPr="006D35BB" w:rsidRDefault="00820E31">
            <w:pPr>
              <w:widowControl w:val="0"/>
              <w:rPr>
                <w:sz w:val="16"/>
                <w:szCs w:val="16"/>
                <w:lang w:val="en-US" w:eastAsia="nl-NL"/>
              </w:rPr>
            </w:pPr>
            <w:r w:rsidRPr="006D35BB">
              <w:rPr>
                <w:sz w:val="16"/>
                <w:szCs w:val="16"/>
                <w:lang w:val="en-US" w:eastAsia="nl-NL"/>
              </w:rPr>
              <w:t>Opinion on benzoic acid and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CACB726"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FB2392" w14:textId="77777777" w:rsidR="00820E31" w:rsidRPr="006D35BB" w:rsidRDefault="00820E31">
            <w:pPr>
              <w:spacing w:before="60" w:after="60"/>
              <w:rPr>
                <w:sz w:val="16"/>
                <w:szCs w:val="16"/>
                <w:lang w:val="en-US"/>
              </w:rPr>
            </w:pPr>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59047C5"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B1E1F18"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D9B9CFB"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5E22B0B"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9A0104"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25D219C8"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CC2069" w14:textId="77777777" w:rsidR="00820E31" w:rsidRPr="006D35BB" w:rsidRDefault="00820E31">
            <w:pPr>
              <w:widowControl w:val="0"/>
              <w:rPr>
                <w:sz w:val="16"/>
                <w:szCs w:val="16"/>
                <w:lang w:val="en-US" w:eastAsia="nl-NL"/>
              </w:rPr>
            </w:pPr>
            <w:r w:rsidRPr="006D35BB">
              <w:rPr>
                <w:sz w:val="16"/>
                <w:szCs w:val="16"/>
                <w:lang w:val="en-US" w:eastAsia="nl-NL"/>
              </w:rPr>
              <w:t>2.2.6.1-6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045514"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40C0B3" w14:textId="77777777" w:rsidR="00820E31" w:rsidRPr="006D35BB" w:rsidRDefault="00820E31">
            <w:pPr>
              <w:widowControl w:val="0"/>
              <w:rPr>
                <w:sz w:val="16"/>
                <w:szCs w:val="16"/>
                <w:lang w:val="en-US" w:eastAsia="nl-NL"/>
              </w:rPr>
            </w:pPr>
            <w:r w:rsidRPr="006D35BB">
              <w:rPr>
                <w:sz w:val="16"/>
                <w:szCs w:val="16"/>
                <w:lang w:val="en-US" w:eastAsia="nl-NL"/>
              </w:rPr>
              <w:t>2000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72D6419" w14:textId="77777777" w:rsidR="00820E31" w:rsidRPr="006D35BB" w:rsidRDefault="00820E31">
            <w:pPr>
              <w:widowControl w:val="0"/>
              <w:rPr>
                <w:sz w:val="16"/>
                <w:szCs w:val="16"/>
                <w:lang w:val="en-US" w:eastAsia="nl-NL"/>
              </w:rPr>
            </w:pPr>
            <w:r w:rsidRPr="006D35BB">
              <w:rPr>
                <w:sz w:val="16"/>
                <w:szCs w:val="16"/>
                <w:lang w:val="en-US" w:eastAsia="nl-NL"/>
              </w:rPr>
              <w:t>Benzoic acid and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660174"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B52880C"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3A0415"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4BB7DA8"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7D082AD"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320F5F"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C849844"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72C95ECD"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33E686" w14:textId="77777777" w:rsidR="00820E31" w:rsidRPr="006D35BB" w:rsidRDefault="00820E31">
            <w:pPr>
              <w:widowControl w:val="0"/>
              <w:rPr>
                <w:sz w:val="16"/>
                <w:szCs w:val="16"/>
                <w:lang w:val="en-US" w:eastAsia="nl-NL"/>
              </w:rPr>
            </w:pPr>
            <w:r w:rsidRPr="006D35BB">
              <w:rPr>
                <w:sz w:val="16"/>
                <w:szCs w:val="16"/>
                <w:lang w:val="en-US" w:eastAsia="nl-NL"/>
              </w:rPr>
              <w:t>2.2.6.1-7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A1F667D"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ABB203" w14:textId="77777777" w:rsidR="00820E31" w:rsidRPr="006D35BB" w:rsidRDefault="00820E31">
            <w:pPr>
              <w:widowControl w:val="0"/>
              <w:rPr>
                <w:sz w:val="16"/>
                <w:szCs w:val="16"/>
                <w:lang w:val="en-US" w:eastAsia="nl-NL"/>
              </w:rPr>
            </w:pPr>
            <w:r w:rsidRPr="006D35BB">
              <w:rPr>
                <w:sz w:val="16"/>
                <w:szCs w:val="16"/>
                <w:lang w:val="en-US" w:eastAsia="nl-NL"/>
              </w:rPr>
              <w:t>1974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2D8E672" w14:textId="77777777" w:rsidR="00820E31" w:rsidRPr="006D35BB" w:rsidRDefault="00820E31">
            <w:pPr>
              <w:widowControl w:val="0"/>
              <w:rPr>
                <w:sz w:val="16"/>
                <w:szCs w:val="16"/>
                <w:lang w:val="en-US" w:eastAsia="nl-NL"/>
              </w:rPr>
            </w:pPr>
            <w:r w:rsidRPr="006D35BB">
              <w:rPr>
                <w:sz w:val="16"/>
                <w:szCs w:val="16"/>
                <w:lang w:val="en-US" w:eastAsia="nl-NL"/>
              </w:rPr>
              <w:t>Benzoic acid. Acute toxicity studies in rats and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60D7695"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D8B23CB"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DE911B7"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15973C5"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BB21AF"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081D99"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7646D7E" w14:textId="77777777" w:rsidR="00820E31" w:rsidRPr="006D35BB" w:rsidRDefault="00820E31">
            <w:pPr>
              <w:widowControl w:val="0"/>
              <w:rPr>
                <w:sz w:val="16"/>
                <w:szCs w:val="16"/>
                <w:lang w:val="en-US" w:eastAsia="nl-NL"/>
              </w:rPr>
            </w:pPr>
            <w:r w:rsidRPr="006D35BB">
              <w:rPr>
                <w:sz w:val="16"/>
                <w:szCs w:val="16"/>
                <w:lang w:val="en-US" w:eastAsia="nl-NL"/>
              </w:rPr>
              <w:t>Eastman Chemical Company</w:t>
            </w:r>
          </w:p>
        </w:tc>
      </w:tr>
      <w:tr w:rsidR="00820E31" w:rsidRPr="006D35BB" w14:paraId="0865222C"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246CB1F" w14:textId="77777777" w:rsidR="00820E31" w:rsidRPr="006D35BB" w:rsidRDefault="00820E31">
            <w:pPr>
              <w:widowControl w:val="0"/>
              <w:rPr>
                <w:sz w:val="16"/>
                <w:szCs w:val="16"/>
                <w:lang w:val="en-US" w:eastAsia="nl-NL"/>
              </w:rPr>
            </w:pPr>
            <w:r w:rsidRPr="006D35BB">
              <w:rPr>
                <w:sz w:val="16"/>
                <w:szCs w:val="16"/>
                <w:lang w:val="en-US" w:eastAsia="nl-NL"/>
              </w:rPr>
              <w:t>2.2.6.1-8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0EB266C"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82DE5FC" w14:textId="77777777" w:rsidR="00820E31" w:rsidRPr="006D35BB" w:rsidRDefault="00820E31">
            <w:pPr>
              <w:widowControl w:val="0"/>
              <w:rPr>
                <w:sz w:val="16"/>
                <w:szCs w:val="16"/>
                <w:lang w:val="en-US" w:eastAsia="nl-NL"/>
              </w:rPr>
            </w:pPr>
            <w:r w:rsidRPr="006D35BB">
              <w:rPr>
                <w:sz w:val="16"/>
                <w:szCs w:val="16"/>
                <w:lang w:val="en-US" w:eastAsia="nl-NL"/>
              </w:rPr>
              <w:t>1979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3DCCBD6" w14:textId="77777777" w:rsidR="00820E31" w:rsidRPr="006D35BB" w:rsidRDefault="00820E31">
            <w:pPr>
              <w:widowControl w:val="0"/>
              <w:rPr>
                <w:sz w:val="16"/>
                <w:szCs w:val="16"/>
                <w:lang w:val="en-US" w:eastAsia="nl-NL"/>
              </w:rPr>
            </w:pPr>
            <w:r w:rsidRPr="006D35BB">
              <w:rPr>
                <w:sz w:val="16"/>
                <w:szCs w:val="16"/>
                <w:lang w:val="en-US" w:eastAsia="nl-NL"/>
              </w:rPr>
              <w:t>Report of carcinogenesis bioassay of sodium benzoate in rats: absence of carcinogenicity of sodium benzoate in rats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84C208"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149F52"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A30F4A4"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3260820"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129794"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4DEE71"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C1519E"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1E3EF8E8"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DCAA8F" w14:textId="77777777" w:rsidR="00820E31" w:rsidRPr="006D35BB" w:rsidRDefault="00820E31">
            <w:pPr>
              <w:widowControl w:val="0"/>
              <w:rPr>
                <w:sz w:val="16"/>
                <w:szCs w:val="16"/>
                <w:lang w:val="en-US" w:eastAsia="nl-NL"/>
              </w:rPr>
            </w:pPr>
            <w:r w:rsidRPr="006D35BB">
              <w:rPr>
                <w:sz w:val="16"/>
                <w:szCs w:val="16"/>
                <w:lang w:val="en-US" w:eastAsia="nl-NL"/>
              </w:rPr>
              <w:t>2.2.6.1-9</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E87E8BE"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EF8B516" w14:textId="77777777" w:rsidR="00820E31" w:rsidRPr="006D35BB" w:rsidRDefault="00820E31">
            <w:pPr>
              <w:widowControl w:val="0"/>
              <w:rPr>
                <w:sz w:val="16"/>
                <w:szCs w:val="16"/>
                <w:lang w:val="en-US" w:eastAsia="nl-NL"/>
              </w:rPr>
            </w:pPr>
            <w:r w:rsidRPr="006D35BB">
              <w:rPr>
                <w:sz w:val="16"/>
                <w:szCs w:val="16"/>
                <w:lang w:val="en-US" w:eastAsia="nl-NL"/>
              </w:rPr>
              <w:t>1960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647F4C4" w14:textId="77777777" w:rsidR="00820E31" w:rsidRPr="006D35BB" w:rsidRDefault="00820E31">
            <w:pPr>
              <w:widowControl w:val="0"/>
              <w:rPr>
                <w:sz w:val="16"/>
                <w:szCs w:val="16"/>
                <w:lang w:val="de-AT" w:eastAsia="nl-NL"/>
              </w:rPr>
            </w:pPr>
            <w:r w:rsidRPr="006D35BB">
              <w:rPr>
                <w:sz w:val="16"/>
                <w:szCs w:val="16"/>
                <w:lang w:val="de-AT" w:eastAsia="nl-NL"/>
              </w:rPr>
              <w:t>Die Verträglichkeit dir Benzoesäure im chronischen</w:t>
            </w:r>
          </w:p>
          <w:p w14:paraId="2185F313" w14:textId="77777777" w:rsidR="00820E31" w:rsidRPr="006D35BB" w:rsidRDefault="00820E31">
            <w:pPr>
              <w:widowControl w:val="0"/>
              <w:rPr>
                <w:sz w:val="16"/>
                <w:szCs w:val="16"/>
                <w:lang w:val="en-US" w:eastAsia="nl-NL"/>
              </w:rPr>
            </w:pPr>
            <w:proofErr w:type="spellStart"/>
            <w:r w:rsidRPr="006D35BB">
              <w:rPr>
                <w:sz w:val="16"/>
                <w:szCs w:val="16"/>
                <w:lang w:val="en-US" w:eastAsia="nl-NL"/>
              </w:rPr>
              <w:t>Fütterungversuch</w:t>
            </w:r>
            <w:proofErr w:type="spellEnd"/>
            <w:r w:rsidRPr="006D35BB">
              <w:rPr>
                <w:sz w:val="16"/>
                <w:szCs w:val="16"/>
                <w:lang w:val="en-US" w:eastAsia="nl-NL"/>
              </w:rPr>
              <w:t xml:space="preserve">.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CADAA6"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332D55E"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030406E"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624882A"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28882AE"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A0A3BBB"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A24BB3"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06F3AD5E"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0DF9ED1" w14:textId="77777777" w:rsidR="00820E31" w:rsidRPr="006D35BB" w:rsidRDefault="00820E31">
            <w:pPr>
              <w:widowControl w:val="0"/>
              <w:rPr>
                <w:sz w:val="16"/>
                <w:szCs w:val="16"/>
                <w:lang w:val="en-US" w:eastAsia="nl-NL"/>
              </w:rPr>
            </w:pPr>
            <w:r w:rsidRPr="006D35BB">
              <w:rPr>
                <w:sz w:val="16"/>
                <w:szCs w:val="16"/>
                <w:lang w:val="en-US" w:eastAsia="nl-NL"/>
              </w:rPr>
              <w:t>2.2.6.1-10</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DC9D27"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85CA4B" w14:textId="77777777"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AE7304" w14:textId="77777777" w:rsidR="00820E31" w:rsidRPr="006D35BB" w:rsidRDefault="00820E31">
            <w:pPr>
              <w:widowControl w:val="0"/>
              <w:rPr>
                <w:sz w:val="16"/>
                <w:szCs w:val="16"/>
                <w:lang w:val="en-US" w:eastAsia="nl-NL"/>
              </w:rPr>
            </w:pPr>
            <w:r w:rsidRPr="006D35BB">
              <w:rPr>
                <w:sz w:val="16"/>
                <w:szCs w:val="16"/>
                <w:lang w:val="en-US" w:eastAsia="nl-NL"/>
              </w:rPr>
              <w:t>Scientific Opinion on the re-evaluation of benzoic acid (E 210), sodium</w:t>
            </w:r>
          </w:p>
          <w:p w14:paraId="657F3D23" w14:textId="77777777" w:rsidR="00820E31" w:rsidRPr="006D35BB" w:rsidRDefault="00820E31">
            <w:pPr>
              <w:widowControl w:val="0"/>
              <w:rPr>
                <w:sz w:val="16"/>
                <w:szCs w:val="16"/>
                <w:lang w:val="de-AT" w:eastAsia="nl-NL"/>
              </w:rPr>
            </w:pPr>
            <w:proofErr w:type="spellStart"/>
            <w:r w:rsidRPr="006D35BB">
              <w:rPr>
                <w:sz w:val="16"/>
                <w:szCs w:val="16"/>
                <w:lang w:val="de-AT" w:eastAsia="nl-NL"/>
              </w:rPr>
              <w:t>benzoate</w:t>
            </w:r>
            <w:proofErr w:type="spellEnd"/>
            <w:r w:rsidRPr="006D35BB">
              <w:rPr>
                <w:sz w:val="16"/>
                <w:szCs w:val="16"/>
                <w:lang w:val="de-AT" w:eastAsia="nl-NL"/>
              </w:rPr>
              <w:t xml:space="preserve"> (E 211), </w:t>
            </w:r>
            <w:proofErr w:type="spellStart"/>
            <w:r w:rsidRPr="006D35BB">
              <w:rPr>
                <w:sz w:val="16"/>
                <w:szCs w:val="16"/>
                <w:lang w:val="de-AT" w:eastAsia="nl-NL"/>
              </w:rPr>
              <w:t>potassium</w:t>
            </w:r>
            <w:proofErr w:type="spellEnd"/>
            <w:r w:rsidRPr="006D35BB">
              <w:rPr>
                <w:sz w:val="16"/>
                <w:szCs w:val="16"/>
                <w:lang w:val="de-AT" w:eastAsia="nl-NL"/>
              </w:rPr>
              <w:t xml:space="preserve"> </w:t>
            </w:r>
            <w:proofErr w:type="spellStart"/>
            <w:r w:rsidRPr="006D35BB">
              <w:rPr>
                <w:sz w:val="16"/>
                <w:szCs w:val="16"/>
                <w:lang w:val="de-AT" w:eastAsia="nl-NL"/>
              </w:rPr>
              <w:t>benzoate</w:t>
            </w:r>
            <w:proofErr w:type="spellEnd"/>
            <w:r w:rsidRPr="006D35BB">
              <w:rPr>
                <w:sz w:val="16"/>
                <w:szCs w:val="16"/>
                <w:lang w:val="de-AT" w:eastAsia="nl-NL"/>
              </w:rPr>
              <w:t xml:space="preserve"> (E 212) and </w:t>
            </w:r>
            <w:proofErr w:type="spellStart"/>
            <w:r w:rsidRPr="006D35BB">
              <w:rPr>
                <w:sz w:val="16"/>
                <w:szCs w:val="16"/>
                <w:lang w:val="de-AT" w:eastAsia="nl-NL"/>
              </w:rPr>
              <w:t>calcium</w:t>
            </w:r>
            <w:proofErr w:type="spellEnd"/>
            <w:r w:rsidRPr="006D35BB">
              <w:rPr>
                <w:sz w:val="16"/>
                <w:szCs w:val="16"/>
                <w:lang w:val="de-AT" w:eastAsia="nl-NL"/>
              </w:rPr>
              <w:t xml:space="preserve"> </w:t>
            </w:r>
            <w:proofErr w:type="spellStart"/>
            <w:r w:rsidRPr="006D35BB">
              <w:rPr>
                <w:sz w:val="16"/>
                <w:szCs w:val="16"/>
                <w:lang w:val="de-AT" w:eastAsia="nl-NL"/>
              </w:rPr>
              <w:t>benzoate</w:t>
            </w:r>
            <w:proofErr w:type="spellEnd"/>
            <w:r w:rsidRPr="006D35BB">
              <w:rPr>
                <w:sz w:val="16"/>
                <w:szCs w:val="16"/>
                <w:lang w:val="de-AT" w:eastAsia="nl-NL"/>
              </w:rPr>
              <w:t xml:space="preserve"> (E 213)</w:t>
            </w:r>
          </w:p>
          <w:p w14:paraId="5D595C01" w14:textId="77777777" w:rsidR="00820E31" w:rsidRPr="006D35BB" w:rsidRDefault="00820E31">
            <w:pPr>
              <w:widowControl w:val="0"/>
              <w:rPr>
                <w:sz w:val="16"/>
                <w:szCs w:val="16"/>
                <w:lang w:val="en-US" w:eastAsia="nl-NL"/>
              </w:rPr>
            </w:pPr>
            <w:r w:rsidRPr="006D35BB">
              <w:rPr>
                <w:sz w:val="16"/>
                <w:szCs w:val="16"/>
                <w:lang w:val="en-US" w:eastAsia="nl-NL"/>
              </w:rPr>
              <w:t>as food additives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2B689B"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58DEC5"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670AF4"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C1BEEE2"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A82F70"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D30C5A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31AD1EA"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39567A3E"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D4E9AD5" w14:textId="77777777" w:rsidR="00820E31" w:rsidRPr="006D35BB" w:rsidRDefault="00820E31">
            <w:pPr>
              <w:widowControl w:val="0"/>
              <w:rPr>
                <w:sz w:val="16"/>
                <w:szCs w:val="16"/>
                <w:lang w:val="en-US" w:eastAsia="nl-NL"/>
              </w:rPr>
            </w:pPr>
            <w:r w:rsidRPr="006D35BB">
              <w:rPr>
                <w:sz w:val="16"/>
                <w:szCs w:val="16"/>
                <w:lang w:val="en-US" w:eastAsia="nl-NL"/>
              </w:rPr>
              <w:t>2.2.6.1-11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96B33F"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F6757DF" w14:textId="77777777" w:rsidR="00820E31" w:rsidRPr="006D35BB" w:rsidRDefault="00820E31">
            <w:pPr>
              <w:widowControl w:val="0"/>
              <w:rPr>
                <w:sz w:val="16"/>
                <w:szCs w:val="16"/>
                <w:lang w:val="en-US" w:eastAsia="nl-NL"/>
              </w:rPr>
            </w:pPr>
            <w:r w:rsidRPr="006D35BB">
              <w:rPr>
                <w:sz w:val="16"/>
                <w:szCs w:val="16"/>
                <w:lang w:val="en-US" w:eastAsia="nl-NL"/>
              </w:rPr>
              <w:t>1984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AA2D3A2" w14:textId="77777777" w:rsidR="00820E31" w:rsidRPr="006D35BB" w:rsidRDefault="00820E31">
            <w:pPr>
              <w:widowControl w:val="0"/>
              <w:rPr>
                <w:sz w:val="16"/>
                <w:szCs w:val="16"/>
                <w:lang w:val="en-US" w:eastAsia="nl-NL"/>
              </w:rPr>
            </w:pPr>
            <w:r w:rsidRPr="006D35BB">
              <w:rPr>
                <w:sz w:val="16"/>
                <w:szCs w:val="16"/>
                <w:lang w:eastAsia="nl-NL"/>
              </w:rPr>
              <w:t>Lack of Tumorigenicity of Sodium Benzoate in Mice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39DF4F2"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DCAD4EF"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57B9AE"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57B0E91"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CEAC004"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4D5568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7649937"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362A6533"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59C7D41" w14:textId="77777777" w:rsidR="00820E31" w:rsidRPr="006D35BB" w:rsidRDefault="00820E31">
            <w:pPr>
              <w:widowControl w:val="0"/>
              <w:rPr>
                <w:sz w:val="16"/>
                <w:szCs w:val="16"/>
                <w:lang w:val="en-US" w:eastAsia="nl-NL"/>
              </w:rPr>
            </w:pPr>
            <w:r w:rsidRPr="006D35BB">
              <w:rPr>
                <w:sz w:val="16"/>
                <w:szCs w:val="16"/>
                <w:lang w:val="en-US" w:eastAsia="nl-NL"/>
              </w:rPr>
              <w:t>2.2.8-1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F7E1390"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2C132D6" w14:textId="77777777" w:rsidR="00820E31" w:rsidRPr="006D35BB" w:rsidRDefault="00820E31">
            <w:pPr>
              <w:widowControl w:val="0"/>
              <w:rPr>
                <w:sz w:val="16"/>
                <w:szCs w:val="16"/>
                <w:lang w:val="en-US" w:eastAsia="nl-NL"/>
              </w:rPr>
            </w:pPr>
            <w:r w:rsidRPr="006D35BB">
              <w:rPr>
                <w:sz w:val="16"/>
                <w:szCs w:val="16"/>
                <w:lang w:val="en-US" w:eastAsia="nl-NL"/>
              </w:rPr>
              <w:t>1985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C80613" w14:textId="77777777" w:rsidR="00820E31" w:rsidRPr="006D35BB" w:rsidRDefault="00820E31">
            <w:pPr>
              <w:widowControl w:val="0"/>
              <w:rPr>
                <w:sz w:val="16"/>
                <w:szCs w:val="16"/>
                <w:lang w:val="en-US" w:eastAsia="nl-NL"/>
              </w:rPr>
            </w:pPr>
            <w:r w:rsidRPr="006D35BB">
              <w:rPr>
                <w:sz w:val="16"/>
                <w:szCs w:val="16"/>
                <w:lang w:val="en-US" w:eastAsia="nl-NL"/>
              </w:rPr>
              <w:t>Acute toxicity of organic chemicals to fathead minnows (</w:t>
            </w:r>
            <w:proofErr w:type="spellStart"/>
            <w:r w:rsidRPr="006D35BB">
              <w:rPr>
                <w:i/>
                <w:sz w:val="16"/>
                <w:szCs w:val="16"/>
                <w:lang w:val="en-US" w:eastAsia="nl-NL"/>
              </w:rPr>
              <w:t>Pimephales</w:t>
            </w:r>
            <w:proofErr w:type="spellEnd"/>
            <w:r w:rsidRPr="006D35BB">
              <w:rPr>
                <w:i/>
                <w:sz w:val="16"/>
                <w:szCs w:val="16"/>
                <w:lang w:val="en-US" w:eastAsia="nl-NL"/>
              </w:rPr>
              <w:t xml:space="preserve"> </w:t>
            </w:r>
            <w:proofErr w:type="spellStart"/>
            <w:r w:rsidRPr="006D35BB">
              <w:rPr>
                <w:i/>
                <w:sz w:val="16"/>
                <w:szCs w:val="16"/>
                <w:lang w:val="en-US" w:eastAsia="nl-NL"/>
              </w:rPr>
              <w:t>promelas</w:t>
            </w:r>
            <w:proofErr w:type="spellEnd"/>
            <w:r w:rsidRPr="006D35BB">
              <w:rPr>
                <w:sz w:val="16"/>
                <w:szCs w:val="16"/>
                <w:lang w:val="en-US" w:eastAsia="nl-NL"/>
              </w:rPr>
              <w: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C9DC191"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B17E07F"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E0C35AF"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747AB3"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094163F"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2633F9"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0A49D11"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2B7280AB"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3792F12" w14:textId="77777777" w:rsidR="00820E31" w:rsidRPr="006D35BB" w:rsidRDefault="00820E31">
            <w:pPr>
              <w:widowControl w:val="0"/>
              <w:rPr>
                <w:sz w:val="16"/>
                <w:szCs w:val="16"/>
                <w:lang w:val="en-US" w:eastAsia="nl-NL"/>
              </w:rPr>
            </w:pPr>
            <w:r w:rsidRPr="006D35BB">
              <w:rPr>
                <w:sz w:val="16"/>
                <w:szCs w:val="16"/>
                <w:lang w:val="en-US" w:eastAsia="nl-NL"/>
              </w:rPr>
              <w:t>2.2.8-2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B0F7B57"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BFB7C1F" w14:textId="77777777" w:rsidR="00820E31" w:rsidRPr="006D35BB" w:rsidRDefault="00820E31">
            <w:pPr>
              <w:widowControl w:val="0"/>
              <w:rPr>
                <w:sz w:val="16"/>
                <w:szCs w:val="16"/>
                <w:lang w:val="en-US" w:eastAsia="nl-NL"/>
              </w:rPr>
            </w:pPr>
            <w:r w:rsidRPr="006D35BB">
              <w:rPr>
                <w:sz w:val="16"/>
                <w:szCs w:val="16"/>
                <w:lang w:val="en-US" w:eastAsia="nl-NL"/>
              </w:rPr>
              <w:t>1986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9D557A0" w14:textId="77777777" w:rsidR="00820E31" w:rsidRPr="006D35BB" w:rsidRDefault="00820E31">
            <w:pPr>
              <w:widowControl w:val="0"/>
              <w:rPr>
                <w:sz w:val="16"/>
                <w:szCs w:val="16"/>
                <w:lang w:val="en-US" w:eastAsia="nl-NL"/>
              </w:rPr>
            </w:pPr>
            <w:r w:rsidRPr="006D35BB">
              <w:rPr>
                <w:sz w:val="16"/>
                <w:szCs w:val="16"/>
                <w:lang w:val="en-US" w:eastAsia="nl-NL"/>
              </w:rPr>
              <w:t>Simultaneous evaluation of the acute effects of chemicals on seven aquatic species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88F6EF7"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1A0CB67"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A807CF"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9405E6C"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734759"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28513AD"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6508E5F"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19FC326F"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2BEF5C3" w14:textId="77777777" w:rsidR="00820E31" w:rsidRPr="006D35BB" w:rsidRDefault="00820E31">
            <w:pPr>
              <w:widowControl w:val="0"/>
              <w:rPr>
                <w:sz w:val="16"/>
                <w:szCs w:val="16"/>
                <w:lang w:val="en-US" w:eastAsia="nl-NL"/>
              </w:rPr>
            </w:pPr>
            <w:r w:rsidRPr="006D35BB">
              <w:rPr>
                <w:sz w:val="16"/>
                <w:szCs w:val="16"/>
                <w:lang w:val="en-US" w:eastAsia="nl-NL"/>
              </w:rPr>
              <w:t>2.2.8-3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E72B48"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9744326" w14:textId="77777777" w:rsidR="00820E31" w:rsidRPr="006D35BB" w:rsidRDefault="00820E31">
            <w:pPr>
              <w:widowControl w:val="0"/>
              <w:rPr>
                <w:sz w:val="16"/>
                <w:szCs w:val="16"/>
                <w:lang w:val="en-US" w:eastAsia="nl-NL"/>
              </w:rPr>
            </w:pPr>
            <w:r w:rsidRPr="006D35BB">
              <w:rPr>
                <w:sz w:val="16"/>
                <w:szCs w:val="16"/>
                <w:lang w:val="en-US" w:eastAsia="nl-NL"/>
              </w:rPr>
              <w:t>2007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C40C20D" w14:textId="77777777" w:rsidR="00820E31" w:rsidRPr="006D35BB" w:rsidRDefault="00820E31">
            <w:pPr>
              <w:widowControl w:val="0"/>
              <w:rPr>
                <w:sz w:val="16"/>
                <w:szCs w:val="16"/>
                <w:lang w:val="en-US" w:eastAsia="nl-NL"/>
              </w:rPr>
            </w:pPr>
            <w:r w:rsidRPr="006D35BB">
              <w:rPr>
                <w:sz w:val="16"/>
                <w:szCs w:val="16"/>
                <w:lang w:val="en-US" w:eastAsia="nl-NL"/>
              </w:rPr>
              <w:t>Treatment with sodium benzoate leads to malformation of zebrafish larvae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B613DDE"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8F62FD"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D548C4"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5584A2"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3CE1763"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4641750"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EDF5CE9"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351A011C" w14:textId="77777777" w:rsidTr="00551EAD">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27935A" w14:textId="77777777" w:rsidR="00820E31" w:rsidRPr="006D35BB" w:rsidRDefault="00820E31">
            <w:pPr>
              <w:widowControl w:val="0"/>
              <w:rPr>
                <w:sz w:val="16"/>
                <w:szCs w:val="16"/>
                <w:lang w:val="en-US" w:eastAsia="nl-NL"/>
              </w:rPr>
            </w:pPr>
            <w:r w:rsidRPr="006D35BB">
              <w:rPr>
                <w:sz w:val="16"/>
                <w:szCs w:val="16"/>
                <w:lang w:val="en-US" w:eastAsia="nl-NL"/>
              </w:rPr>
              <w:lastRenderedPageBreak/>
              <w:t>2.2.8-4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84CEB64"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9EF335E" w14:textId="77777777" w:rsidR="00820E31" w:rsidRPr="006D35BB" w:rsidRDefault="00820E31">
            <w:pPr>
              <w:widowControl w:val="0"/>
              <w:rPr>
                <w:sz w:val="16"/>
                <w:szCs w:val="16"/>
                <w:lang w:val="en-US" w:eastAsia="nl-NL"/>
              </w:rPr>
            </w:pPr>
            <w:r w:rsidRPr="006D35BB">
              <w:rPr>
                <w:sz w:val="16"/>
                <w:szCs w:val="16"/>
                <w:lang w:val="en-US" w:eastAsia="nl-NL"/>
              </w:rPr>
              <w:t>1998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928765" w14:textId="77777777" w:rsidR="00820E31" w:rsidRPr="006D35BB" w:rsidRDefault="00820E31">
            <w:pPr>
              <w:widowControl w:val="0"/>
              <w:rPr>
                <w:sz w:val="16"/>
                <w:szCs w:val="16"/>
                <w:lang w:val="en-US" w:eastAsia="nl-NL"/>
              </w:rPr>
            </w:pPr>
            <w:r w:rsidRPr="006D35BB">
              <w:rPr>
                <w:sz w:val="16"/>
                <w:szCs w:val="16"/>
                <w:lang w:val="en-US" w:eastAsia="nl-NL"/>
              </w:rPr>
              <w:t xml:space="preserve">Acute </w:t>
            </w:r>
            <w:proofErr w:type="spellStart"/>
            <w:r w:rsidRPr="006D35BB">
              <w:rPr>
                <w:sz w:val="16"/>
                <w:szCs w:val="16"/>
                <w:lang w:val="en-US" w:eastAsia="nl-NL"/>
              </w:rPr>
              <w:t>Immobilisation</w:t>
            </w:r>
            <w:proofErr w:type="spellEnd"/>
            <w:r w:rsidRPr="006D35BB">
              <w:rPr>
                <w:sz w:val="16"/>
                <w:szCs w:val="16"/>
                <w:lang w:val="en-US" w:eastAsia="nl-NL"/>
              </w:rPr>
              <w:t xml:space="preserve"> Test on Daphnia magna (Semi static Test Procedure)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611D69"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B21851"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B5BA6BA" w14:textId="77777777"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6181C77"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608D47A"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BCC1E98"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BE71A1" w14:textId="77777777" w:rsidR="00820E31" w:rsidRPr="006D35BB" w:rsidRDefault="00820E31">
            <w:pPr>
              <w:widowControl w:val="0"/>
              <w:rPr>
                <w:sz w:val="16"/>
                <w:szCs w:val="16"/>
                <w:lang w:val="en-US" w:eastAsia="nl-NL"/>
              </w:rPr>
            </w:pPr>
            <w:r w:rsidRPr="006D35BB">
              <w:rPr>
                <w:sz w:val="16"/>
                <w:szCs w:val="16"/>
                <w:lang w:val="en-US" w:eastAsia="nl-NL"/>
              </w:rPr>
              <w:t xml:space="preserve">Menno </w:t>
            </w:r>
            <w:proofErr w:type="spellStart"/>
            <w:r w:rsidRPr="006D35BB">
              <w:rPr>
                <w:sz w:val="16"/>
                <w:szCs w:val="16"/>
                <w:lang w:val="en-US" w:eastAsia="nl-NL"/>
              </w:rPr>
              <w:t>Chemie-Vertrieb</w:t>
            </w:r>
            <w:proofErr w:type="spellEnd"/>
            <w:r w:rsidRPr="006D35BB">
              <w:rPr>
                <w:sz w:val="16"/>
                <w:szCs w:val="16"/>
                <w:lang w:val="en-US" w:eastAsia="nl-NL"/>
              </w:rPr>
              <w:t xml:space="preserve"> GmbH</w:t>
            </w:r>
          </w:p>
        </w:tc>
      </w:tr>
      <w:tr w:rsidR="00820E31" w:rsidRPr="006D35BB" w14:paraId="0FFC8CA5" w14:textId="77777777" w:rsidTr="00551EAD">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A95DEC" w14:textId="77777777" w:rsidR="00820E31" w:rsidRPr="006D35BB" w:rsidRDefault="00820E31">
            <w:pPr>
              <w:widowControl w:val="0"/>
              <w:rPr>
                <w:sz w:val="16"/>
                <w:szCs w:val="16"/>
                <w:lang w:val="en-US" w:eastAsia="nl-NL"/>
              </w:rPr>
            </w:pPr>
            <w:r w:rsidRPr="006D35BB">
              <w:rPr>
                <w:sz w:val="16"/>
                <w:szCs w:val="16"/>
                <w:lang w:val="en-US" w:eastAsia="nl-NL"/>
              </w:rPr>
              <w:t>2.2.8-5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84FCE8"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E6FF6A" w14:textId="77777777" w:rsidR="00820E31" w:rsidRPr="006D35BB" w:rsidRDefault="00820E31">
            <w:pPr>
              <w:widowControl w:val="0"/>
              <w:rPr>
                <w:sz w:val="16"/>
                <w:szCs w:val="16"/>
                <w:lang w:val="en-US" w:eastAsia="nl-NL"/>
              </w:rPr>
            </w:pPr>
            <w:r w:rsidRPr="006D35BB">
              <w:rPr>
                <w:sz w:val="16"/>
                <w:szCs w:val="16"/>
                <w:lang w:val="en-US" w:eastAsia="nl-NL"/>
              </w:rPr>
              <w:t>2005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1E142A6" w14:textId="77777777" w:rsidR="00820E31" w:rsidRPr="006D35BB" w:rsidRDefault="00820E31">
            <w:pPr>
              <w:widowControl w:val="0"/>
              <w:rPr>
                <w:sz w:val="16"/>
                <w:szCs w:val="16"/>
                <w:lang w:val="en-US" w:eastAsia="nl-NL"/>
              </w:rPr>
            </w:pPr>
            <w:r w:rsidRPr="006D35BB">
              <w:rPr>
                <w:sz w:val="16"/>
                <w:szCs w:val="16"/>
                <w:lang w:val="en-US" w:eastAsia="nl-NL"/>
              </w:rPr>
              <w:t>Acute toxicity of benzoic acids to the crustacean Daphnia magna</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9C6BC88"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3BB2A1"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540A2D5"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BB37EC7"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0135103"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017CD30"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C276FE5"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7B0DD2EF"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6AC5182" w14:textId="77777777" w:rsidR="00820E31" w:rsidRPr="006D35BB" w:rsidRDefault="00820E31">
            <w:pPr>
              <w:widowControl w:val="0"/>
              <w:rPr>
                <w:sz w:val="16"/>
                <w:szCs w:val="16"/>
                <w:lang w:val="en-US" w:eastAsia="nl-NL"/>
              </w:rPr>
            </w:pPr>
            <w:r w:rsidRPr="006D35BB">
              <w:rPr>
                <w:sz w:val="16"/>
                <w:szCs w:val="16"/>
                <w:lang w:val="en-US" w:eastAsia="nl-NL"/>
              </w:rPr>
              <w:t>2.2.8-6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BBFD193"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D7DD15" w14:textId="77777777" w:rsidR="00820E31" w:rsidRPr="006D35BB" w:rsidRDefault="00820E31">
            <w:pPr>
              <w:widowControl w:val="0"/>
              <w:rPr>
                <w:sz w:val="16"/>
                <w:szCs w:val="16"/>
                <w:lang w:val="en-US" w:eastAsia="nl-NL"/>
              </w:rPr>
            </w:pPr>
            <w:r w:rsidRPr="006D35BB">
              <w:rPr>
                <w:sz w:val="16"/>
                <w:szCs w:val="16"/>
                <w:lang w:val="en-US" w:eastAsia="nl-NL"/>
              </w:rPr>
              <w:t>1945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4918AA" w14:textId="77777777" w:rsidR="00820E31" w:rsidRPr="006D35BB" w:rsidRDefault="00820E31">
            <w:pPr>
              <w:widowControl w:val="0"/>
              <w:rPr>
                <w:sz w:val="16"/>
                <w:szCs w:val="16"/>
                <w:lang w:val="en-US" w:eastAsia="nl-NL"/>
              </w:rPr>
            </w:pPr>
            <w:r w:rsidRPr="006D35BB">
              <w:rPr>
                <w:sz w:val="16"/>
                <w:szCs w:val="16"/>
                <w:lang w:val="en-US" w:eastAsia="nl-NL"/>
              </w:rPr>
              <w:t>The toxicity thresholds of various sodium salts determined by the use of Daphnia magna</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B4407C6"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BEB24D9"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F184A8" w14:textId="77777777"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A7AE331"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76AB78D"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41073AA"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632199F" w14:textId="77777777"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14:paraId="1CAD2EA8"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62037F" w14:textId="77777777" w:rsidR="00820E31" w:rsidRPr="006D35BB" w:rsidRDefault="00820E31">
            <w:pPr>
              <w:widowControl w:val="0"/>
              <w:rPr>
                <w:sz w:val="16"/>
                <w:szCs w:val="16"/>
                <w:lang w:val="en-US" w:eastAsia="nl-NL"/>
              </w:rPr>
            </w:pPr>
            <w:r w:rsidRPr="006D35BB">
              <w:rPr>
                <w:sz w:val="16"/>
                <w:szCs w:val="16"/>
                <w:lang w:val="en-US" w:eastAsia="nl-NL"/>
              </w:rPr>
              <w:t>2.2.8-7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72D15E6"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7ADEE92" w14:textId="77777777" w:rsidR="00820E31" w:rsidRPr="006D35BB" w:rsidRDefault="00820E31">
            <w:pPr>
              <w:widowControl w:val="0"/>
              <w:rPr>
                <w:sz w:val="16"/>
                <w:szCs w:val="16"/>
                <w:lang w:val="en-US" w:eastAsia="nl-NL"/>
              </w:rPr>
            </w:pPr>
            <w:r w:rsidRPr="006D35BB">
              <w:rPr>
                <w:sz w:val="16"/>
                <w:szCs w:val="16"/>
                <w:lang w:val="en-US" w:eastAsia="nl-NL"/>
              </w:rPr>
              <w:t>2010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A644F5" w14:textId="77777777" w:rsidR="00820E31" w:rsidRPr="006D35BB" w:rsidRDefault="00820E31">
            <w:pPr>
              <w:widowControl w:val="0"/>
              <w:rPr>
                <w:sz w:val="16"/>
                <w:szCs w:val="16"/>
                <w:lang w:val="en-US" w:eastAsia="nl-NL"/>
              </w:rPr>
            </w:pPr>
            <w:r w:rsidRPr="006D35BB">
              <w:rPr>
                <w:sz w:val="16"/>
                <w:szCs w:val="16"/>
                <w:lang w:val="en-US" w:eastAsia="nl-NL"/>
              </w:rPr>
              <w:t xml:space="preserve">Fresh water algal growth inhibition test with </w:t>
            </w:r>
            <w:proofErr w:type="spellStart"/>
            <w:r w:rsidRPr="006D35BB">
              <w:rPr>
                <w:sz w:val="16"/>
                <w:szCs w:val="16"/>
                <w:lang w:val="en-US" w:eastAsia="nl-NL"/>
              </w:rPr>
              <w:t>natriumbenzoaat</w:t>
            </w:r>
            <w:proofErr w:type="spellEnd"/>
            <w:r w:rsidRPr="006D35BB">
              <w:rPr>
                <w:sz w:val="16"/>
                <w:szCs w:val="16"/>
                <w:lang w:val="en-US" w:eastAsia="nl-NL"/>
              </w:rPr>
              <w:t xml:space="preserve"> (</w:t>
            </w:r>
            <w:proofErr w:type="spellStart"/>
            <w:r w:rsidRPr="006D35BB">
              <w:rPr>
                <w:sz w:val="16"/>
                <w:szCs w:val="16"/>
                <w:lang w:val="en-US" w:eastAsia="nl-NL"/>
              </w:rPr>
              <w:t>Purox</w:t>
            </w:r>
            <w:proofErr w:type="spellEnd"/>
            <w:r w:rsidRPr="006D35BB">
              <w:rPr>
                <w:sz w:val="16"/>
                <w:szCs w:val="16"/>
                <w:lang w:val="en-US" w:eastAsia="nl-NL"/>
              </w:rPr>
              <w:t xml:space="preserve"> 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B056BF"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EFCE53B"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6F2EE69"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0B11427"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45EE61F" w14:textId="77777777"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7AF17D1" w14:textId="77777777"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3317DA1" w14:textId="77777777"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14:paraId="0BA61642"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AE39A1B" w14:textId="77777777" w:rsidR="00820E31" w:rsidRPr="006D35BB" w:rsidRDefault="00820E31">
            <w:pPr>
              <w:widowControl w:val="0"/>
              <w:rPr>
                <w:sz w:val="16"/>
                <w:szCs w:val="16"/>
                <w:lang w:val="en-US" w:eastAsia="nl-NL"/>
              </w:rPr>
            </w:pPr>
            <w:r w:rsidRPr="006D35BB">
              <w:rPr>
                <w:sz w:val="16"/>
                <w:szCs w:val="16"/>
                <w:lang w:val="en-US" w:eastAsia="nl-NL"/>
              </w:rPr>
              <w:t>2.2.8-8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89BDBB2"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E4805FF" w14:textId="77777777" w:rsidR="00820E31" w:rsidRPr="006D35BB" w:rsidRDefault="00820E31">
            <w:pPr>
              <w:widowControl w:val="0"/>
              <w:rPr>
                <w:sz w:val="16"/>
                <w:szCs w:val="16"/>
                <w:lang w:val="nl-NL" w:eastAsia="nl-NL"/>
              </w:rPr>
            </w:pPr>
            <w:r w:rsidRPr="006D35BB">
              <w:rPr>
                <w:sz w:val="16"/>
                <w:szCs w:val="16"/>
                <w:lang w:val="nl-NL" w:eastAsia="nl-NL"/>
              </w:rPr>
              <w:t>1985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C1AC24E" w14:textId="77777777" w:rsidR="00820E31" w:rsidRPr="006D35BB" w:rsidRDefault="00820E31">
            <w:pPr>
              <w:widowControl w:val="0"/>
              <w:rPr>
                <w:sz w:val="16"/>
                <w:szCs w:val="16"/>
                <w:lang w:val="en-US" w:eastAsia="nl-NL"/>
              </w:rPr>
            </w:pPr>
            <w:r w:rsidRPr="006D35BB">
              <w:rPr>
                <w:sz w:val="16"/>
                <w:szCs w:val="16"/>
                <w:lang w:val="en-US" w:eastAsia="nl-NL"/>
              </w:rPr>
              <w:t>Evaluation of the OECD activated sludge, respiration inhibition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99D0CCB"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9009525"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6669EA3"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9E07FCD" w14:textId="77777777"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49391DF"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C4FECE8"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1405267" w14:textId="77777777" w:rsidR="00820E31" w:rsidRPr="006D35BB" w:rsidRDefault="00820E31">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14:paraId="65FFCEF4"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DB09779" w14:textId="77777777" w:rsidR="00820E31" w:rsidRPr="006D35BB" w:rsidRDefault="00820E31">
            <w:pPr>
              <w:widowControl w:val="0"/>
              <w:rPr>
                <w:sz w:val="16"/>
                <w:szCs w:val="16"/>
                <w:lang w:val="en-US" w:eastAsia="nl-NL"/>
              </w:rPr>
            </w:pPr>
            <w:r w:rsidRPr="006D35BB">
              <w:rPr>
                <w:sz w:val="16"/>
                <w:szCs w:val="16"/>
                <w:lang w:val="en-US" w:eastAsia="nl-NL"/>
              </w:rPr>
              <w:t>2.2.8-9</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AAFF151"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AC9B413" w14:textId="77777777" w:rsidR="00820E31" w:rsidRPr="006D35BB" w:rsidRDefault="00820E31">
            <w:pPr>
              <w:widowControl w:val="0"/>
              <w:rPr>
                <w:sz w:val="16"/>
                <w:szCs w:val="16"/>
                <w:lang w:val="nl-NL" w:eastAsia="nl-NL"/>
              </w:rPr>
            </w:pPr>
            <w:r w:rsidRPr="006D35BB">
              <w:rPr>
                <w:sz w:val="16"/>
                <w:szCs w:val="16"/>
                <w:lang w:val="nl-NL" w:eastAsia="nl-NL"/>
              </w:rPr>
              <w:t>1955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70E1C49" w14:textId="77777777" w:rsidR="00820E31" w:rsidRPr="006D35BB" w:rsidRDefault="00820E31">
            <w:pPr>
              <w:widowControl w:val="0"/>
              <w:rPr>
                <w:sz w:val="16"/>
                <w:szCs w:val="16"/>
                <w:lang w:val="de-AT" w:eastAsia="nl-NL"/>
              </w:rPr>
            </w:pPr>
            <w:r w:rsidRPr="006D35BB">
              <w:rPr>
                <w:sz w:val="16"/>
                <w:szCs w:val="16"/>
                <w:lang w:val="de-AT" w:eastAsia="nl-NL"/>
              </w:rPr>
              <w:t xml:space="preserve">In verdorbenen Heringspräserven vorkommende Bakterie-Arten und ihr Verhalten </w:t>
            </w:r>
            <w:proofErr w:type="spellStart"/>
            <w:r w:rsidRPr="006D35BB">
              <w:rPr>
                <w:sz w:val="16"/>
                <w:szCs w:val="16"/>
                <w:lang w:val="de-AT" w:eastAsia="nl-NL"/>
              </w:rPr>
              <w:t>gegenűber</w:t>
            </w:r>
            <w:proofErr w:type="spellEnd"/>
            <w:r w:rsidRPr="006D35BB">
              <w:rPr>
                <w:sz w:val="16"/>
                <w:szCs w:val="16"/>
                <w:lang w:val="de-AT" w:eastAsia="nl-NL"/>
              </w:rPr>
              <w:t xml:space="preserve"> Salz und Konservierungsmittel</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5FFF20"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4CB49F7"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5E14C52"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F39931F" w14:textId="77777777"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ECDE1FB"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B632C3B"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6A4A94D" w14:textId="77777777" w:rsidR="00820E31" w:rsidRPr="006D35BB" w:rsidRDefault="00820E31">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14:paraId="609ACA66"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1B35AA2" w14:textId="77777777" w:rsidR="00820E31" w:rsidRPr="006D35BB" w:rsidRDefault="00820E31">
            <w:pPr>
              <w:widowControl w:val="0"/>
              <w:rPr>
                <w:sz w:val="16"/>
                <w:szCs w:val="16"/>
                <w:lang w:val="en-US" w:eastAsia="nl-NL"/>
              </w:rPr>
            </w:pPr>
            <w:r w:rsidRPr="006D35BB">
              <w:rPr>
                <w:sz w:val="16"/>
                <w:szCs w:val="16"/>
                <w:lang w:val="en-US" w:eastAsia="nl-NL"/>
              </w:rPr>
              <w:t>2.2.8-10</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A8B338" w14:textId="77777777"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AF05849" w14:textId="77777777" w:rsidR="00820E31" w:rsidRPr="006D35BB" w:rsidRDefault="00820E31">
            <w:pPr>
              <w:widowControl w:val="0"/>
              <w:rPr>
                <w:sz w:val="16"/>
                <w:szCs w:val="16"/>
                <w:lang w:val="nl-NL" w:eastAsia="nl-NL"/>
              </w:rPr>
            </w:pPr>
            <w:r w:rsidRPr="006D35BB">
              <w:rPr>
                <w:sz w:val="16"/>
                <w:szCs w:val="16"/>
                <w:lang w:val="nl-NL"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177ECEA" w14:textId="77777777" w:rsidR="00820E31" w:rsidRPr="00EB287D" w:rsidRDefault="00820E31">
            <w:pPr>
              <w:widowControl w:val="0"/>
              <w:rPr>
                <w:sz w:val="16"/>
                <w:szCs w:val="16"/>
                <w:lang w:val="en-US" w:eastAsia="nl-NL"/>
              </w:rPr>
            </w:pPr>
            <w:r w:rsidRPr="00EB287D">
              <w:rPr>
                <w:sz w:val="16"/>
                <w:szCs w:val="16"/>
                <w:lang w:val="en-US" w:eastAsia="nl-NL"/>
              </w:rPr>
              <w:t xml:space="preserve">Prevention of nitrification-caused erroneous </w:t>
            </w:r>
            <w:proofErr w:type="spellStart"/>
            <w:r w:rsidRPr="00EB287D">
              <w:rPr>
                <w:sz w:val="16"/>
                <w:szCs w:val="16"/>
                <w:lang w:val="en-US" w:eastAsia="nl-NL"/>
              </w:rPr>
              <w:t>biodegradablitiy</w:t>
            </w:r>
            <w:proofErr w:type="spellEnd"/>
            <w:r w:rsidRPr="00EB287D">
              <w:rPr>
                <w:sz w:val="16"/>
                <w:szCs w:val="16"/>
                <w:lang w:val="en-US" w:eastAsia="nl-NL"/>
              </w:rPr>
              <w:t xml:space="preserve"> data in the closed bottle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0C8CBB7"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3BE4F3"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CB2454"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23D937E" w14:textId="77777777"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F500E9A"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D4D353D" w14:textId="77777777" w:rsidR="00820E31" w:rsidRPr="006D35BB" w:rsidRDefault="00820E31">
            <w:pPr>
              <w:widowControl w:val="0"/>
              <w:rPr>
                <w:sz w:val="16"/>
                <w:szCs w:val="16"/>
                <w:lang w:val="nl-NL" w:eastAsia="nl-NL"/>
              </w:rPr>
            </w:pP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6003269" w14:textId="77777777" w:rsidR="00820E31" w:rsidRPr="006D35BB" w:rsidRDefault="00820E31" w:rsidP="00751FA0">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14:paraId="126B420A"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D53863E" w14:textId="77777777" w:rsidR="00820E31" w:rsidRPr="006D35BB" w:rsidRDefault="00820E31">
            <w:pPr>
              <w:widowControl w:val="0"/>
              <w:rPr>
                <w:sz w:val="16"/>
                <w:szCs w:val="16"/>
                <w:lang w:val="en-US" w:eastAsia="nl-NL"/>
              </w:rPr>
            </w:pPr>
            <w:r w:rsidRPr="006D35BB">
              <w:rPr>
                <w:sz w:val="16"/>
                <w:szCs w:val="16"/>
                <w:lang w:val="en-US" w:eastAsia="nl-NL"/>
              </w:rPr>
              <w:t>2.2.8-11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51D488" w14:textId="77777777" w:rsidR="00820E31" w:rsidRPr="006D35BB" w:rsidRDefault="00820E31">
            <w:pPr>
              <w:widowControl w:val="0"/>
              <w:rPr>
                <w:sz w:val="16"/>
                <w:szCs w:val="16"/>
                <w:lang w:val="en-US"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65367B4" w14:textId="77777777" w:rsidR="00820E31" w:rsidRPr="006D35BB" w:rsidRDefault="00820E31">
            <w:pPr>
              <w:widowControl w:val="0"/>
              <w:rPr>
                <w:sz w:val="16"/>
                <w:szCs w:val="16"/>
                <w:lang w:val="nl-NL" w:eastAsia="nl-NL"/>
              </w:rPr>
            </w:pPr>
            <w:r w:rsidRPr="006D35BB">
              <w:rPr>
                <w:sz w:val="16"/>
                <w:szCs w:val="16"/>
                <w:lang w:val="nl-NL" w:eastAsia="nl-NL"/>
              </w:rPr>
              <w:t>1991</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8BE5FCB" w14:textId="77777777" w:rsidR="00820E31" w:rsidRPr="00EB287D" w:rsidRDefault="00820E31">
            <w:pPr>
              <w:widowControl w:val="0"/>
              <w:rPr>
                <w:sz w:val="16"/>
                <w:szCs w:val="16"/>
                <w:lang w:val="en-US" w:eastAsia="nl-NL"/>
              </w:rPr>
            </w:pPr>
            <w:r w:rsidRPr="00EB287D">
              <w:rPr>
                <w:sz w:val="16"/>
                <w:szCs w:val="16"/>
                <w:lang w:val="en-US" w:eastAsia="nl-NL"/>
              </w:rPr>
              <w:t xml:space="preserve">Influence of </w:t>
            </w:r>
            <w:proofErr w:type="spellStart"/>
            <w:r w:rsidRPr="00EB287D">
              <w:rPr>
                <w:sz w:val="16"/>
                <w:szCs w:val="16"/>
                <w:lang w:val="en-US" w:eastAsia="nl-NL"/>
              </w:rPr>
              <w:t>hydrophobe</w:t>
            </w:r>
            <w:proofErr w:type="spellEnd"/>
            <w:r w:rsidRPr="00EB287D">
              <w:rPr>
                <w:sz w:val="16"/>
                <w:szCs w:val="16"/>
                <w:lang w:val="en-US" w:eastAsia="nl-NL"/>
              </w:rPr>
              <w:t xml:space="preserve"> type and extent of branching on environmental response factors of nonionic surfactants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A6DF53E"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766272A"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4F92F5B"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69A7945" w14:textId="77777777"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F2B2348" w14:textId="77777777"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4F56B7C" w14:textId="77777777" w:rsidR="00820E31" w:rsidRPr="006D35BB" w:rsidRDefault="00820E31">
            <w:pPr>
              <w:widowControl w:val="0"/>
              <w:rPr>
                <w:sz w:val="16"/>
                <w:szCs w:val="16"/>
                <w:lang w:val="nl-NL" w:eastAsia="nl-NL"/>
              </w:rPr>
            </w:pP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6291DDC" w14:textId="77777777" w:rsidR="00820E31" w:rsidRPr="006D35BB" w:rsidRDefault="00820E31" w:rsidP="00751FA0">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14:paraId="7C7740A1" w14:textId="77777777"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7D12731" w14:textId="77777777" w:rsidR="00820E31" w:rsidRPr="006D35BB" w:rsidRDefault="00820E31">
            <w:pPr>
              <w:widowControl w:val="0"/>
              <w:rPr>
                <w:sz w:val="16"/>
                <w:szCs w:val="16"/>
                <w:lang w:val="en-US" w:eastAsia="nl-NL"/>
              </w:rPr>
            </w:pPr>
            <w:r>
              <w:rPr>
                <w:sz w:val="16"/>
                <w:szCs w:val="16"/>
                <w:lang w:val="en-US" w:eastAsia="nl-NL"/>
              </w:rPr>
              <w:t>2.2.8-12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DD9470F" w14:textId="77777777" w:rsidR="00820E31" w:rsidRPr="006D35BB" w:rsidRDefault="00820E31" w:rsidP="00820E31">
            <w:pPr>
              <w:widowControl w:val="0"/>
              <w:rPr>
                <w:sz w:val="16"/>
                <w:szCs w:val="16"/>
                <w:lang w:val="en-US"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387F67F" w14:textId="77777777" w:rsidR="00820E31" w:rsidRPr="006D35BB" w:rsidRDefault="00820E31">
            <w:pPr>
              <w:widowControl w:val="0"/>
              <w:rPr>
                <w:sz w:val="16"/>
                <w:szCs w:val="16"/>
                <w:lang w:val="nl-NL" w:eastAsia="nl-NL"/>
              </w:rPr>
            </w:pPr>
            <w:r>
              <w:rPr>
                <w:sz w:val="16"/>
                <w:szCs w:val="16"/>
                <w:lang w:val="nl-NL" w:eastAsia="nl-NL"/>
              </w:rPr>
              <w:t>2004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083D47" w14:textId="77777777" w:rsidR="00820E31" w:rsidRPr="00A64728" w:rsidRDefault="00820E31" w:rsidP="00A64728">
            <w:pPr>
              <w:widowControl w:val="0"/>
              <w:rPr>
                <w:sz w:val="16"/>
                <w:szCs w:val="16"/>
                <w:lang w:val="en-US" w:eastAsia="nl-NL"/>
              </w:rPr>
            </w:pPr>
            <w:r w:rsidRPr="00A64728">
              <w:rPr>
                <w:sz w:val="16"/>
                <w:szCs w:val="16"/>
                <w:lang w:val="en-US" w:eastAsia="nl-NL"/>
              </w:rPr>
              <w:t>Influence of Benzoic Acid to Daphnia</w:t>
            </w:r>
          </w:p>
          <w:p w14:paraId="2123B026" w14:textId="77777777" w:rsidR="00820E31" w:rsidRPr="00EB287D" w:rsidRDefault="00820E31" w:rsidP="00A64728">
            <w:pPr>
              <w:widowControl w:val="0"/>
              <w:rPr>
                <w:sz w:val="16"/>
                <w:szCs w:val="16"/>
                <w:lang w:val="en-US" w:eastAsia="nl-NL"/>
              </w:rPr>
            </w:pPr>
            <w:r w:rsidRPr="00A64728">
              <w:rPr>
                <w:sz w:val="16"/>
                <w:szCs w:val="16"/>
                <w:lang w:val="en-US" w:eastAsia="nl-NL"/>
              </w:rPr>
              <w:t>magna in a Reproduction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1297619" w14:textId="77777777"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EA4842F" w14:textId="77777777"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86FD683" w14:textId="77777777" w:rsidR="00820E31" w:rsidRPr="006D35BB" w:rsidRDefault="00820E31">
            <w:pPr>
              <w:widowControl w:val="0"/>
              <w:rPr>
                <w:sz w:val="16"/>
                <w:szCs w:val="16"/>
                <w:lang w:val="nl-NL" w:eastAsia="nl-NL"/>
              </w:rPr>
            </w:pPr>
            <w:r>
              <w:rPr>
                <w:sz w:val="16"/>
                <w:szCs w:val="16"/>
                <w:lang w:val="nl-NL"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5855ED2" w14:textId="77777777" w:rsidR="00820E31" w:rsidRPr="006D35BB" w:rsidRDefault="00820E31">
            <w:pPr>
              <w:widowControl w:val="0"/>
              <w:rPr>
                <w:sz w:val="16"/>
                <w:szCs w:val="16"/>
                <w:lang w:val="nl-NL" w:eastAsia="nl-NL"/>
              </w:rPr>
            </w:pPr>
            <w:r>
              <w:rPr>
                <w:sz w:val="16"/>
                <w:szCs w:val="16"/>
                <w:lang w:val="nl-NL"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893621A" w14:textId="77777777" w:rsidR="00820E31" w:rsidRPr="006D35BB" w:rsidRDefault="00820E31">
            <w:pPr>
              <w:widowControl w:val="0"/>
              <w:rPr>
                <w:sz w:val="16"/>
                <w:szCs w:val="16"/>
                <w:lang w:val="nl-NL" w:eastAsia="nl-NL"/>
              </w:rPr>
            </w:pPr>
            <w:r>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92741AF" w14:textId="77777777" w:rsidR="00820E31" w:rsidRPr="006D35BB" w:rsidRDefault="00820E31">
            <w:pPr>
              <w:widowControl w:val="0"/>
              <w:rPr>
                <w:sz w:val="16"/>
                <w:szCs w:val="16"/>
                <w:lang w:val="nl-NL" w:eastAsia="nl-NL"/>
              </w:rPr>
            </w:pPr>
            <w:r>
              <w:rPr>
                <w:sz w:val="16"/>
                <w:szCs w:val="16"/>
                <w:lang w:val="nl-NL"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20F9FEF" w14:textId="77777777" w:rsidR="00820E31" w:rsidRPr="006D35BB" w:rsidRDefault="00820E31" w:rsidP="00751FA0">
            <w:pPr>
              <w:widowControl w:val="0"/>
              <w:rPr>
                <w:sz w:val="16"/>
                <w:szCs w:val="16"/>
                <w:lang w:val="nl-NL" w:eastAsia="nl-NL"/>
              </w:rPr>
            </w:pPr>
            <w:r w:rsidRPr="006D35BB">
              <w:rPr>
                <w:sz w:val="16"/>
                <w:szCs w:val="16"/>
                <w:lang w:val="en-US" w:eastAsia="nl-NL"/>
              </w:rPr>
              <w:t xml:space="preserve">Menno </w:t>
            </w:r>
            <w:proofErr w:type="spellStart"/>
            <w:r w:rsidRPr="006D35BB">
              <w:rPr>
                <w:sz w:val="16"/>
                <w:szCs w:val="16"/>
                <w:lang w:val="en-US" w:eastAsia="nl-NL"/>
              </w:rPr>
              <w:t>Chemie-Vertrieb</w:t>
            </w:r>
            <w:proofErr w:type="spellEnd"/>
            <w:r w:rsidRPr="006D35BB">
              <w:rPr>
                <w:sz w:val="16"/>
                <w:szCs w:val="16"/>
                <w:lang w:val="en-US" w:eastAsia="nl-NL"/>
              </w:rPr>
              <w:t xml:space="preserve"> GmbH</w:t>
            </w:r>
          </w:p>
        </w:tc>
      </w:tr>
    </w:tbl>
    <w:p w14:paraId="05F75229" w14:textId="77777777" w:rsidR="00CF59EF" w:rsidRDefault="00CF59EF">
      <w:pPr>
        <w:rPr>
          <w:rFonts w:eastAsia="Calibri"/>
          <w:b/>
          <w:caps/>
          <w:sz w:val="28"/>
          <w:szCs w:val="28"/>
          <w:lang w:val="nl-NL" w:eastAsia="en-US"/>
        </w:rPr>
      </w:pPr>
    </w:p>
    <w:p w14:paraId="7C179122" w14:textId="77777777" w:rsidR="00CF59EF" w:rsidRDefault="00CF59EF">
      <w:pPr>
        <w:rPr>
          <w:rFonts w:eastAsia="Calibri"/>
          <w:b/>
          <w:caps/>
          <w:sz w:val="28"/>
          <w:szCs w:val="28"/>
          <w:lang w:val="nl-NL" w:eastAsia="en-US"/>
        </w:rPr>
      </w:pPr>
    </w:p>
    <w:p w14:paraId="2F27C5EE" w14:textId="77777777" w:rsidR="000D3A48" w:rsidRDefault="000D3A48">
      <w:pPr>
        <w:rPr>
          <w:rFonts w:eastAsia="Calibri"/>
          <w:b/>
          <w:sz w:val="24"/>
          <w:lang w:eastAsia="en-US"/>
        </w:rPr>
      </w:pPr>
      <w:bookmarkStart w:id="1852" w:name="_Toc403472828"/>
      <w:bookmarkStart w:id="1853" w:name="_Toc389729190"/>
      <w:bookmarkStart w:id="1854" w:name="_Toc531868682"/>
      <w:bookmarkEnd w:id="1852"/>
      <w:bookmarkEnd w:id="1853"/>
      <w:r>
        <w:br w:type="page"/>
      </w:r>
    </w:p>
    <w:p w14:paraId="23E1099D" w14:textId="77777777" w:rsidR="00CF59EF" w:rsidRDefault="000B5D37" w:rsidP="00CD3957">
      <w:pPr>
        <w:pStyle w:val="Heading2"/>
      </w:pPr>
      <w:r>
        <w:lastRenderedPageBreak/>
        <w:t>Output tables from exposure assessment tools</w:t>
      </w:r>
      <w:bookmarkEnd w:id="1854"/>
    </w:p>
    <w:p w14:paraId="0B3A90D3" w14:textId="77777777" w:rsidR="00CF59EF" w:rsidRDefault="00CF59EF">
      <w:pPr>
        <w:pStyle w:val="Absatz"/>
        <w:ind w:left="0"/>
        <w:rPr>
          <w:b/>
          <w:lang w:eastAsia="en-US"/>
        </w:rPr>
      </w:pPr>
    </w:p>
    <w:p w14:paraId="60D29863" w14:textId="77777777" w:rsidR="00CF59EF" w:rsidRPr="006D35BB" w:rsidRDefault="000B5D37" w:rsidP="006D35BB">
      <w:pPr>
        <w:rPr>
          <w:rFonts w:eastAsia="Calibri"/>
          <w:b/>
          <w:caps/>
          <w:sz w:val="22"/>
          <w:szCs w:val="22"/>
          <w:lang w:eastAsia="en-US"/>
        </w:rPr>
      </w:pPr>
      <w:r w:rsidRPr="006D35BB">
        <w:rPr>
          <w:rFonts w:eastAsia="Calibri"/>
          <w:b/>
          <w:caps/>
          <w:sz w:val="22"/>
          <w:szCs w:val="22"/>
          <w:lang w:eastAsia="en-US"/>
        </w:rPr>
        <w:t>human toxicological RISK ASSESSMENT</w:t>
      </w:r>
    </w:p>
    <w:p w14:paraId="0A2CEE7A" w14:textId="77777777" w:rsidR="00CF59EF" w:rsidRDefault="00CF59EF" w:rsidP="006D35BB">
      <w:pPr>
        <w:pStyle w:val="Absatz"/>
        <w:ind w:left="0"/>
        <w:rPr>
          <w:b/>
          <w:lang w:val="en-US" w:eastAsia="nl-NL"/>
        </w:rPr>
      </w:pPr>
    </w:p>
    <w:p w14:paraId="78C56FFF" w14:textId="77777777" w:rsidR="00CF59EF" w:rsidRDefault="000B5D37">
      <w:pPr>
        <w:rPr>
          <w:b/>
          <w:lang w:val="en-US" w:eastAsia="nl-NL"/>
        </w:rPr>
      </w:pPr>
      <w:r>
        <w:rPr>
          <w:b/>
          <w:lang w:val="en-US" w:eastAsia="nl-NL"/>
        </w:rPr>
        <w:t xml:space="preserve">Exposure scenario 2: loading of liquid laundry detergent into the washing machine by professionals, </w:t>
      </w:r>
      <w:proofErr w:type="spellStart"/>
      <w:r>
        <w:rPr>
          <w:b/>
          <w:lang w:val="en-US" w:eastAsia="nl-NL"/>
        </w:rPr>
        <w:t>ConsExpo</w:t>
      </w:r>
      <w:proofErr w:type="spellEnd"/>
      <w:r>
        <w:rPr>
          <w:b/>
          <w:lang w:val="en-US" w:eastAsia="nl-NL"/>
        </w:rPr>
        <w:t xml:space="preserve"> 4.1</w:t>
      </w:r>
    </w:p>
    <w:p w14:paraId="496673E3" w14:textId="77777777" w:rsidR="00CF59EF" w:rsidRDefault="00CF59EF">
      <w:pPr>
        <w:rPr>
          <w:b/>
          <w:lang w:val="en-US" w:eastAsia="nl-NL"/>
        </w:rPr>
      </w:pPr>
    </w:p>
    <w:p w14:paraId="7A7894D1" w14:textId="77777777" w:rsidR="00CF59EF" w:rsidRDefault="000B5D37">
      <w:pPr>
        <w:jc w:val="center"/>
        <w:rPr>
          <w:rFonts w:ascii="MS Sans Serif" w:hAnsi="MS Sans Serif" w:cs="MS Sans Serif"/>
          <w:b/>
          <w:bCs/>
          <w:sz w:val="24"/>
          <w:szCs w:val="24"/>
          <w:u w:val="single"/>
          <w:lang w:val="en-US"/>
        </w:rPr>
      </w:pPr>
      <w:proofErr w:type="spellStart"/>
      <w:r>
        <w:rPr>
          <w:rFonts w:ascii="MS Sans Serif" w:hAnsi="MS Sans Serif" w:cs="MS Sans Serif"/>
          <w:b/>
          <w:bCs/>
          <w:sz w:val="24"/>
          <w:szCs w:val="24"/>
          <w:u w:val="single"/>
          <w:lang w:val="en-US"/>
        </w:rPr>
        <w:t>ConsExpo</w:t>
      </w:r>
      <w:proofErr w:type="spellEnd"/>
      <w:r>
        <w:rPr>
          <w:rFonts w:ascii="MS Sans Serif" w:hAnsi="MS Sans Serif" w:cs="MS Sans Serif"/>
          <w:b/>
          <w:bCs/>
          <w:sz w:val="24"/>
          <w:szCs w:val="24"/>
          <w:u w:val="single"/>
          <w:lang w:val="en-US"/>
        </w:rPr>
        <w:t xml:space="preserve"> 4.1  report</w:t>
      </w:r>
    </w:p>
    <w:p w14:paraId="7EF20F75" w14:textId="77777777" w:rsidR="00CF59EF" w:rsidRDefault="00CF59EF">
      <w:pPr>
        <w:jc w:val="center"/>
        <w:rPr>
          <w:rFonts w:ascii="MS Sans Serif" w:hAnsi="MS Sans Serif" w:cs="MS Sans Serif"/>
          <w:sz w:val="16"/>
          <w:szCs w:val="16"/>
          <w:lang w:val="en-US"/>
        </w:rPr>
      </w:pPr>
    </w:p>
    <w:p w14:paraId="2747ED52" w14:textId="77777777" w:rsidR="00CF59EF" w:rsidRDefault="000B5D37">
      <w:pPr>
        <w:jc w:val="center"/>
        <w:rPr>
          <w:rFonts w:ascii="MS Sans Serif" w:hAnsi="MS Sans Serif" w:cs="MS Sans Serif"/>
          <w:sz w:val="16"/>
          <w:szCs w:val="16"/>
          <w:lang w:val="en-US"/>
        </w:rPr>
      </w:pPr>
      <w:r>
        <w:rPr>
          <w:rFonts w:ascii="MS Sans Serif" w:hAnsi="MS Sans Serif" w:cs="MS Sans Serif"/>
          <w:sz w:val="16"/>
          <w:szCs w:val="16"/>
          <w:lang w:val="en-US"/>
        </w:rPr>
        <w:t>Report date: 6-12-2016</w:t>
      </w:r>
    </w:p>
    <w:p w14:paraId="0D683956" w14:textId="77777777" w:rsidR="00CF59EF" w:rsidRDefault="00CF59EF">
      <w:pPr>
        <w:jc w:val="center"/>
        <w:rPr>
          <w:rFonts w:ascii="MS Sans Serif" w:hAnsi="MS Sans Serif" w:cs="MS Sans Serif"/>
          <w:sz w:val="16"/>
          <w:szCs w:val="16"/>
          <w:lang w:val="en-US"/>
        </w:rPr>
      </w:pPr>
    </w:p>
    <w:p w14:paraId="726C43D9" w14:textId="77777777" w:rsidR="00CF59EF" w:rsidRDefault="00CF59EF">
      <w:pPr>
        <w:jc w:val="center"/>
        <w:rPr>
          <w:rFonts w:ascii="MS Sans Serif" w:hAnsi="MS Sans Serif" w:cs="MS Sans Serif"/>
          <w:sz w:val="16"/>
          <w:szCs w:val="16"/>
          <w:lang w:val="en-US"/>
        </w:rPr>
      </w:pPr>
    </w:p>
    <w:p w14:paraId="3E73D118" w14:textId="77777777" w:rsidR="00CF59EF" w:rsidRDefault="000B5D37">
      <w:pPr>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Product</w:t>
      </w:r>
    </w:p>
    <w:p w14:paraId="7C2969E5" w14:textId="77777777" w:rsidR="00CF59EF" w:rsidRDefault="00CF59EF">
      <w:pPr>
        <w:tabs>
          <w:tab w:val="left" w:pos="0"/>
        </w:tabs>
        <w:ind w:left="400"/>
        <w:rPr>
          <w:rFonts w:ascii="MS Sans Serif" w:hAnsi="MS Sans Serif" w:cs="MS Sans Serif"/>
          <w:sz w:val="16"/>
          <w:szCs w:val="16"/>
          <w:lang w:val="en-US"/>
        </w:rPr>
      </w:pPr>
    </w:p>
    <w:p w14:paraId="5BD070C6" w14:textId="77777777" w:rsidR="00CF59EF" w:rsidRDefault="000B5D37">
      <w:pPr>
        <w:tabs>
          <w:tab w:val="left" w:pos="0"/>
        </w:tabs>
        <w:ind w:left="400"/>
        <w:rPr>
          <w:rFonts w:ascii="MS Sans Serif" w:hAnsi="MS Sans Serif" w:cs="MS Sans Serif"/>
          <w:sz w:val="16"/>
          <w:szCs w:val="16"/>
          <w:lang w:val="en-US"/>
        </w:rPr>
      </w:pPr>
      <w:r>
        <w:rPr>
          <w:rFonts w:ascii="MS Sans Serif" w:hAnsi="MS Sans Serif" w:cs="MS Sans Serif"/>
          <w:sz w:val="16"/>
          <w:szCs w:val="16"/>
          <w:lang w:val="en-US"/>
        </w:rPr>
        <w:t>Sodium benzoate</w:t>
      </w:r>
    </w:p>
    <w:p w14:paraId="66833C10" w14:textId="77777777" w:rsidR="00CF59EF" w:rsidRDefault="00CF59EF">
      <w:pPr>
        <w:tabs>
          <w:tab w:val="left" w:pos="0"/>
        </w:tabs>
        <w:ind w:left="400"/>
        <w:rPr>
          <w:rFonts w:ascii="MS Sans Serif" w:hAnsi="MS Sans Serif" w:cs="MS Sans Serif"/>
          <w:sz w:val="16"/>
          <w:szCs w:val="16"/>
          <w:lang w:val="en-US"/>
        </w:rPr>
      </w:pPr>
    </w:p>
    <w:p w14:paraId="53A40D60" w14:textId="77777777" w:rsidR="00CF59EF" w:rsidRDefault="000B5D37">
      <w:pPr>
        <w:tabs>
          <w:tab w:val="left" w:pos="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Compound</w:t>
      </w:r>
    </w:p>
    <w:p w14:paraId="57A1F45D"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7B28817A"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Compound name : </w:t>
      </w:r>
      <w:r>
        <w:rPr>
          <w:rFonts w:ascii="MS Sans Serif" w:hAnsi="MS Sans Serif" w:cs="MS Sans Serif"/>
          <w:sz w:val="16"/>
          <w:szCs w:val="16"/>
          <w:lang w:val="en-US"/>
        </w:rPr>
        <w:tab/>
        <w:t xml:space="preserve"> Sodium benzoate</w:t>
      </w:r>
    </w:p>
    <w:p w14:paraId="5BFC2286"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CAS number    : </w:t>
      </w:r>
      <w:r>
        <w:rPr>
          <w:rFonts w:ascii="MS Sans Serif" w:hAnsi="MS Sans Serif" w:cs="MS Sans Serif"/>
          <w:sz w:val="16"/>
          <w:szCs w:val="16"/>
          <w:lang w:val="en-US"/>
        </w:rPr>
        <w:tab/>
        <w:t xml:space="preserve"> 532-32-1</w:t>
      </w:r>
    </w:p>
    <w:p w14:paraId="72C55C99"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molecular weight              </w:t>
      </w:r>
      <w:r>
        <w:rPr>
          <w:rFonts w:ascii="MS Sans Serif" w:hAnsi="MS Sans Serif" w:cs="MS Sans Serif"/>
          <w:sz w:val="16"/>
          <w:szCs w:val="16"/>
          <w:lang w:val="en-US"/>
        </w:rPr>
        <w:tab/>
        <w:t xml:space="preserve">122       </w:t>
      </w:r>
      <w:r>
        <w:rPr>
          <w:rFonts w:ascii="MS Sans Serif" w:hAnsi="MS Sans Serif" w:cs="MS Sans Serif"/>
          <w:sz w:val="16"/>
          <w:szCs w:val="16"/>
          <w:lang w:val="en-US"/>
        </w:rPr>
        <w:tab/>
        <w:t xml:space="preserve">g/mol               </w:t>
      </w:r>
    </w:p>
    <w:p w14:paraId="187E4555" w14:textId="77777777" w:rsidR="00CF59EF" w:rsidRDefault="000B5D37">
      <w:pPr>
        <w:tabs>
          <w:tab w:val="left" w:pos="4200"/>
          <w:tab w:val="left" w:pos="6400"/>
          <w:tab w:val="left" w:pos="7800"/>
        </w:tabs>
        <w:ind w:left="400"/>
        <w:rPr>
          <w:rFonts w:ascii="MS Sans Serif" w:hAnsi="MS Sans Serif" w:cs="MS Sans Serif"/>
          <w:sz w:val="16"/>
          <w:szCs w:val="16"/>
          <w:lang w:val="en-US"/>
        </w:rPr>
      </w:pPr>
      <w:proofErr w:type="spellStart"/>
      <w:r>
        <w:rPr>
          <w:rFonts w:ascii="MS Sans Serif" w:hAnsi="MS Sans Serif" w:cs="MS Sans Serif"/>
          <w:sz w:val="16"/>
          <w:szCs w:val="16"/>
          <w:lang w:val="en-US"/>
        </w:rPr>
        <w:t>vapour</w:t>
      </w:r>
      <w:proofErr w:type="spellEnd"/>
      <w:r>
        <w:rPr>
          <w:rFonts w:ascii="MS Sans Serif" w:hAnsi="MS Sans Serif" w:cs="MS Sans Serif"/>
          <w:sz w:val="16"/>
          <w:szCs w:val="16"/>
          <w:lang w:val="en-US"/>
        </w:rPr>
        <w:t xml:space="preserve"> pressure               </w:t>
      </w:r>
      <w:r>
        <w:rPr>
          <w:rFonts w:ascii="MS Sans Serif" w:hAnsi="MS Sans Serif" w:cs="MS Sans Serif"/>
          <w:sz w:val="16"/>
          <w:szCs w:val="16"/>
          <w:lang w:val="en-US"/>
        </w:rPr>
        <w:tab/>
        <w:t xml:space="preserve">0,001     </w:t>
      </w:r>
      <w:r>
        <w:rPr>
          <w:rFonts w:ascii="MS Sans Serif" w:hAnsi="MS Sans Serif" w:cs="MS Sans Serif"/>
          <w:sz w:val="16"/>
          <w:szCs w:val="16"/>
          <w:lang w:val="en-US"/>
        </w:rPr>
        <w:tab/>
        <w:t xml:space="preserve">Pascal              </w:t>
      </w:r>
    </w:p>
    <w:p w14:paraId="3F368926"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KOW                           </w:t>
      </w:r>
      <w:r>
        <w:rPr>
          <w:rFonts w:ascii="MS Sans Serif" w:hAnsi="MS Sans Serif" w:cs="MS Sans Serif"/>
          <w:sz w:val="16"/>
          <w:szCs w:val="16"/>
          <w:lang w:val="en-US"/>
        </w:rPr>
        <w:tab/>
        <w:t xml:space="preserve">-2,27     </w:t>
      </w:r>
      <w:r>
        <w:rPr>
          <w:rFonts w:ascii="MS Sans Serif" w:hAnsi="MS Sans Serif" w:cs="MS Sans Serif"/>
          <w:sz w:val="16"/>
          <w:szCs w:val="16"/>
          <w:lang w:val="en-US"/>
        </w:rPr>
        <w:tab/>
        <w:t xml:space="preserve">10Log               </w:t>
      </w:r>
    </w:p>
    <w:p w14:paraId="2A384448" w14:textId="77777777"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General Exposure Data</w:t>
      </w:r>
    </w:p>
    <w:p w14:paraId="4BA050F4"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604E6F77"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exposure frequency            </w:t>
      </w:r>
      <w:r>
        <w:rPr>
          <w:rFonts w:ascii="MS Sans Serif" w:hAnsi="MS Sans Serif" w:cs="MS Sans Serif"/>
          <w:sz w:val="16"/>
          <w:szCs w:val="16"/>
          <w:lang w:val="en-US"/>
        </w:rPr>
        <w:tab/>
        <w:t xml:space="preserve">365       </w:t>
      </w:r>
      <w:r>
        <w:rPr>
          <w:rFonts w:ascii="MS Sans Serif" w:hAnsi="MS Sans Serif" w:cs="MS Sans Serif"/>
          <w:sz w:val="16"/>
          <w:szCs w:val="16"/>
          <w:lang w:val="en-US"/>
        </w:rPr>
        <w:tab/>
        <w:t xml:space="preserve">1/year              </w:t>
      </w:r>
    </w:p>
    <w:p w14:paraId="3C17055E"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body weight                   </w:t>
      </w:r>
      <w:r>
        <w:rPr>
          <w:rFonts w:ascii="MS Sans Serif" w:hAnsi="MS Sans Serif" w:cs="MS Sans Serif"/>
          <w:sz w:val="16"/>
          <w:szCs w:val="16"/>
          <w:lang w:val="en-US"/>
        </w:rPr>
        <w:tab/>
        <w:t xml:space="preserve">60        </w:t>
      </w:r>
      <w:r>
        <w:rPr>
          <w:rFonts w:ascii="MS Sans Serif" w:hAnsi="MS Sans Serif" w:cs="MS Sans Serif"/>
          <w:sz w:val="16"/>
          <w:szCs w:val="16"/>
          <w:lang w:val="en-US"/>
        </w:rPr>
        <w:tab/>
        <w:t xml:space="preserve">kilogram            </w:t>
      </w:r>
    </w:p>
    <w:p w14:paraId="5A35B885"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59F4AA32"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1A321EE0" w14:textId="77777777"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Dermal model: Direct dermal contact with product : instant application</w:t>
      </w:r>
    </w:p>
    <w:p w14:paraId="0FD741A2"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4FFD978D"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weight fraction compound      </w:t>
      </w:r>
      <w:r>
        <w:rPr>
          <w:rFonts w:ascii="MS Sans Serif" w:hAnsi="MS Sans Serif" w:cs="MS Sans Serif"/>
          <w:sz w:val="16"/>
          <w:szCs w:val="16"/>
          <w:lang w:val="en-US"/>
        </w:rPr>
        <w:tab/>
        <w:t xml:space="preserve">2,5       </w:t>
      </w:r>
      <w:r>
        <w:rPr>
          <w:rFonts w:ascii="MS Sans Serif" w:hAnsi="MS Sans Serif" w:cs="MS Sans Serif"/>
          <w:sz w:val="16"/>
          <w:szCs w:val="16"/>
          <w:lang w:val="en-US"/>
        </w:rPr>
        <w:tab/>
        <w:t xml:space="preserve">%                   </w:t>
      </w:r>
    </w:p>
    <w:p w14:paraId="4EABE2CD"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exposed area                  </w:t>
      </w:r>
      <w:r>
        <w:rPr>
          <w:rFonts w:ascii="MS Sans Serif" w:hAnsi="MS Sans Serif" w:cs="MS Sans Serif"/>
          <w:sz w:val="16"/>
          <w:szCs w:val="16"/>
          <w:lang w:val="en-US"/>
        </w:rPr>
        <w:tab/>
        <w:t xml:space="preserve">205       </w:t>
      </w:r>
      <w:r>
        <w:rPr>
          <w:rFonts w:ascii="MS Sans Serif" w:hAnsi="MS Sans Serif" w:cs="MS Sans Serif"/>
          <w:sz w:val="16"/>
          <w:szCs w:val="16"/>
          <w:lang w:val="en-US"/>
        </w:rPr>
        <w:tab/>
        <w:t xml:space="preserve">cm2                 </w:t>
      </w:r>
    </w:p>
    <w:p w14:paraId="33289F80"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applied amount                </w:t>
      </w:r>
      <w:r>
        <w:rPr>
          <w:rFonts w:ascii="MS Sans Serif" w:hAnsi="MS Sans Serif" w:cs="MS Sans Serif"/>
          <w:sz w:val="16"/>
          <w:szCs w:val="16"/>
          <w:lang w:val="en-US"/>
        </w:rPr>
        <w:tab/>
        <w:t xml:space="preserve">0,01      </w:t>
      </w:r>
      <w:r>
        <w:rPr>
          <w:rFonts w:ascii="MS Sans Serif" w:hAnsi="MS Sans Serif" w:cs="MS Sans Serif"/>
          <w:sz w:val="16"/>
          <w:szCs w:val="16"/>
          <w:lang w:val="en-US"/>
        </w:rPr>
        <w:tab/>
        <w:t xml:space="preserve">gram                </w:t>
      </w:r>
    </w:p>
    <w:p w14:paraId="387BC0DA"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7EA22C61" w14:textId="77777777"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Uptake model: fraction</w:t>
      </w:r>
    </w:p>
    <w:p w14:paraId="2E8D867E"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066D4FFE"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uptake fraction               </w:t>
      </w:r>
      <w:r>
        <w:rPr>
          <w:rFonts w:ascii="MS Sans Serif" w:hAnsi="MS Sans Serif" w:cs="MS Sans Serif"/>
          <w:sz w:val="16"/>
          <w:szCs w:val="16"/>
          <w:lang w:val="en-US"/>
        </w:rPr>
        <w:tab/>
        <w:t xml:space="preserve">75        </w:t>
      </w:r>
      <w:r>
        <w:rPr>
          <w:rFonts w:ascii="MS Sans Serif" w:hAnsi="MS Sans Serif" w:cs="MS Sans Serif"/>
          <w:sz w:val="16"/>
          <w:szCs w:val="16"/>
          <w:lang w:val="en-US"/>
        </w:rPr>
        <w:tab/>
        <w:t xml:space="preserve">%                   </w:t>
      </w:r>
    </w:p>
    <w:p w14:paraId="2AA269F0"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33C6EB8A" w14:textId="77777777" w:rsidR="006D35BB" w:rsidRDefault="006D35BB">
      <w:pPr>
        <w:tabs>
          <w:tab w:val="left" w:pos="4200"/>
          <w:tab w:val="left" w:pos="6400"/>
          <w:tab w:val="left" w:pos="7800"/>
        </w:tabs>
        <w:jc w:val="center"/>
        <w:rPr>
          <w:rFonts w:ascii="MS Sans Serif" w:hAnsi="MS Sans Serif" w:cs="MS Sans Serif"/>
          <w:b/>
          <w:bCs/>
          <w:sz w:val="24"/>
          <w:szCs w:val="24"/>
          <w:u w:val="single"/>
          <w:lang w:val="en-US"/>
        </w:rPr>
      </w:pPr>
    </w:p>
    <w:p w14:paraId="7146CE51" w14:textId="77777777" w:rsidR="006D35BB" w:rsidRDefault="006D35BB">
      <w:pPr>
        <w:tabs>
          <w:tab w:val="left" w:pos="4200"/>
          <w:tab w:val="left" w:pos="6400"/>
          <w:tab w:val="left" w:pos="7800"/>
        </w:tabs>
        <w:jc w:val="center"/>
        <w:rPr>
          <w:rFonts w:ascii="MS Sans Serif" w:hAnsi="MS Sans Serif" w:cs="MS Sans Serif"/>
          <w:b/>
          <w:bCs/>
          <w:sz w:val="24"/>
          <w:szCs w:val="24"/>
          <w:u w:val="single"/>
          <w:lang w:val="en-US"/>
        </w:rPr>
      </w:pPr>
    </w:p>
    <w:p w14:paraId="4465FAAD" w14:textId="77777777" w:rsidR="00CF59EF" w:rsidRDefault="000B5D37">
      <w:pPr>
        <w:tabs>
          <w:tab w:val="left" w:pos="4200"/>
          <w:tab w:val="left" w:pos="6400"/>
          <w:tab w:val="left" w:pos="7800"/>
        </w:tabs>
        <w:jc w:val="center"/>
        <w:rPr>
          <w:rFonts w:ascii="MS Sans Serif" w:hAnsi="MS Sans Serif" w:cs="MS Sans Serif"/>
          <w:b/>
          <w:bCs/>
          <w:sz w:val="24"/>
          <w:szCs w:val="24"/>
          <w:u w:val="single"/>
          <w:lang w:val="en-US"/>
        </w:rPr>
      </w:pPr>
      <w:r>
        <w:rPr>
          <w:rFonts w:ascii="MS Sans Serif" w:hAnsi="MS Sans Serif" w:cs="MS Sans Serif"/>
          <w:b/>
          <w:bCs/>
          <w:sz w:val="24"/>
          <w:szCs w:val="24"/>
          <w:u w:val="single"/>
          <w:lang w:val="en-US"/>
        </w:rPr>
        <w:t>Output</w:t>
      </w:r>
    </w:p>
    <w:p w14:paraId="174EA56D" w14:textId="77777777" w:rsidR="00CF59EF" w:rsidRDefault="00CF59EF">
      <w:pPr>
        <w:tabs>
          <w:tab w:val="left" w:pos="4200"/>
          <w:tab w:val="left" w:pos="6400"/>
          <w:tab w:val="left" w:pos="7800"/>
        </w:tabs>
        <w:jc w:val="center"/>
        <w:rPr>
          <w:rFonts w:ascii="MS Sans Serif" w:hAnsi="MS Sans Serif" w:cs="MS Sans Serif"/>
          <w:sz w:val="16"/>
          <w:szCs w:val="16"/>
          <w:lang w:val="en-US"/>
        </w:rPr>
      </w:pPr>
    </w:p>
    <w:p w14:paraId="3F2D13A0" w14:textId="77777777" w:rsidR="00CF59EF" w:rsidRDefault="00CF59EF">
      <w:pPr>
        <w:tabs>
          <w:tab w:val="left" w:pos="4200"/>
          <w:tab w:val="left" w:pos="6400"/>
          <w:tab w:val="left" w:pos="7800"/>
        </w:tabs>
        <w:jc w:val="center"/>
        <w:rPr>
          <w:rFonts w:ascii="MS Sans Serif" w:hAnsi="MS Sans Serif" w:cs="MS Sans Serif"/>
          <w:sz w:val="16"/>
          <w:szCs w:val="16"/>
          <w:lang w:val="en-US"/>
        </w:rPr>
      </w:pPr>
    </w:p>
    <w:p w14:paraId="3F56B079"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7BBCF981" w14:textId="77777777"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Dermal : point estimates</w:t>
      </w:r>
    </w:p>
    <w:p w14:paraId="1BBCCB1E"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34C8FE1D"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load :           </w:t>
      </w:r>
      <w:r>
        <w:rPr>
          <w:rFonts w:ascii="MS Sans Serif" w:hAnsi="MS Sans Serif" w:cs="MS Sans Serif"/>
          <w:sz w:val="16"/>
          <w:szCs w:val="16"/>
          <w:lang w:val="en-US"/>
        </w:rPr>
        <w:tab/>
        <w:t>0,00122</w:t>
      </w:r>
      <w:r>
        <w:rPr>
          <w:rFonts w:ascii="MS Sans Serif" w:hAnsi="MS Sans Serif" w:cs="MS Sans Serif"/>
          <w:sz w:val="16"/>
          <w:szCs w:val="16"/>
          <w:lang w:val="en-US"/>
        </w:rPr>
        <w:tab/>
        <w:t xml:space="preserve"> mg/cm2</w:t>
      </w:r>
    </w:p>
    <w:p w14:paraId="1DC96B90"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external dose : </w:t>
      </w:r>
      <w:r>
        <w:rPr>
          <w:rFonts w:ascii="MS Sans Serif" w:hAnsi="MS Sans Serif" w:cs="MS Sans Serif"/>
          <w:sz w:val="16"/>
          <w:szCs w:val="16"/>
          <w:lang w:val="en-US"/>
        </w:rPr>
        <w:tab/>
        <w:t>0,00417</w:t>
      </w:r>
      <w:r>
        <w:rPr>
          <w:rFonts w:ascii="MS Sans Serif" w:hAnsi="MS Sans Serif" w:cs="MS Sans Serif"/>
          <w:sz w:val="16"/>
          <w:szCs w:val="16"/>
          <w:lang w:val="en-US"/>
        </w:rPr>
        <w:tab/>
        <w:t xml:space="preserve"> mg/kg</w:t>
      </w:r>
    </w:p>
    <w:p w14:paraId="533042A9"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acute (internal) dose :     </w:t>
      </w:r>
      <w:r>
        <w:rPr>
          <w:rFonts w:ascii="MS Sans Serif" w:hAnsi="MS Sans Serif" w:cs="MS Sans Serif"/>
          <w:sz w:val="16"/>
          <w:szCs w:val="16"/>
          <w:lang w:val="en-US"/>
        </w:rPr>
        <w:tab/>
        <w:t>0,00313</w:t>
      </w:r>
      <w:r>
        <w:rPr>
          <w:rFonts w:ascii="MS Sans Serif" w:hAnsi="MS Sans Serif" w:cs="MS Sans Serif"/>
          <w:sz w:val="16"/>
          <w:szCs w:val="16"/>
          <w:lang w:val="en-US"/>
        </w:rPr>
        <w:tab/>
        <w:t xml:space="preserve"> mg/kg</w:t>
      </w:r>
    </w:p>
    <w:p w14:paraId="7D7A34F1"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chronic (internal) dose :     </w:t>
      </w:r>
      <w:r>
        <w:rPr>
          <w:rFonts w:ascii="MS Sans Serif" w:hAnsi="MS Sans Serif" w:cs="MS Sans Serif"/>
          <w:sz w:val="16"/>
          <w:szCs w:val="16"/>
          <w:lang w:val="en-US"/>
        </w:rPr>
        <w:tab/>
        <w:t>0,00312</w:t>
      </w:r>
      <w:r>
        <w:rPr>
          <w:rFonts w:ascii="MS Sans Serif" w:hAnsi="MS Sans Serif" w:cs="MS Sans Serif"/>
          <w:sz w:val="16"/>
          <w:szCs w:val="16"/>
          <w:lang w:val="en-US"/>
        </w:rPr>
        <w:tab/>
        <w:t xml:space="preserve"> mg/kg/day</w:t>
      </w:r>
    </w:p>
    <w:p w14:paraId="544E02CD"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4FCE590D" w14:textId="77777777"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Integrated (point estimates)</w:t>
      </w:r>
    </w:p>
    <w:p w14:paraId="3A3B14C0" w14:textId="77777777" w:rsidR="00CF59EF" w:rsidRDefault="00CF59EF">
      <w:pPr>
        <w:tabs>
          <w:tab w:val="left" w:pos="4200"/>
          <w:tab w:val="left" w:pos="6400"/>
          <w:tab w:val="left" w:pos="7800"/>
        </w:tabs>
        <w:ind w:left="400"/>
        <w:rPr>
          <w:rFonts w:ascii="MS Sans Serif" w:hAnsi="MS Sans Serif" w:cs="MS Sans Serif"/>
          <w:sz w:val="16"/>
          <w:szCs w:val="16"/>
          <w:lang w:val="en-US"/>
        </w:rPr>
      </w:pPr>
    </w:p>
    <w:p w14:paraId="0797D91A"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total external dose:  </w:t>
      </w:r>
      <w:r>
        <w:rPr>
          <w:rFonts w:ascii="MS Sans Serif" w:hAnsi="MS Sans Serif" w:cs="MS Sans Serif"/>
          <w:sz w:val="16"/>
          <w:szCs w:val="16"/>
          <w:lang w:val="en-US"/>
        </w:rPr>
        <w:tab/>
        <w:t>0,00417</w:t>
      </w:r>
      <w:r>
        <w:rPr>
          <w:rFonts w:ascii="MS Sans Serif" w:hAnsi="MS Sans Serif" w:cs="MS Sans Serif"/>
          <w:sz w:val="16"/>
          <w:szCs w:val="16"/>
          <w:lang w:val="en-US"/>
        </w:rPr>
        <w:tab/>
        <w:t xml:space="preserve"> mg/kg</w:t>
      </w:r>
    </w:p>
    <w:p w14:paraId="67707BA1" w14:textId="77777777"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total acute dose  (internal):  </w:t>
      </w:r>
      <w:r>
        <w:rPr>
          <w:rFonts w:ascii="MS Sans Serif" w:hAnsi="MS Sans Serif" w:cs="MS Sans Serif"/>
          <w:sz w:val="16"/>
          <w:szCs w:val="16"/>
          <w:lang w:val="en-US"/>
        </w:rPr>
        <w:tab/>
        <w:t>0,00313</w:t>
      </w:r>
      <w:r>
        <w:rPr>
          <w:rFonts w:ascii="MS Sans Serif" w:hAnsi="MS Sans Serif" w:cs="MS Sans Serif"/>
          <w:sz w:val="16"/>
          <w:szCs w:val="16"/>
          <w:lang w:val="en-US"/>
        </w:rPr>
        <w:tab/>
        <w:t xml:space="preserve"> mg/kg</w:t>
      </w:r>
    </w:p>
    <w:p w14:paraId="6143D0BD" w14:textId="77777777" w:rsidR="00CF59EF" w:rsidRDefault="000B5D37">
      <w:pPr>
        <w:rPr>
          <w:lang w:val="en-US"/>
        </w:rPr>
      </w:pPr>
      <w:r>
        <w:rPr>
          <w:rFonts w:ascii="MS Sans Serif" w:hAnsi="MS Sans Serif" w:cs="MS Sans Serif"/>
          <w:sz w:val="16"/>
          <w:szCs w:val="16"/>
          <w:lang w:val="en-US"/>
        </w:rPr>
        <w:t xml:space="preserve">total chronic dose  (internal):  </w:t>
      </w:r>
      <w:r>
        <w:rPr>
          <w:rFonts w:ascii="MS Sans Serif" w:hAnsi="MS Sans Serif" w:cs="MS Sans Serif"/>
          <w:sz w:val="16"/>
          <w:szCs w:val="16"/>
          <w:lang w:val="en-US"/>
        </w:rPr>
        <w:tab/>
        <w:t>0,00312</w:t>
      </w:r>
      <w:r>
        <w:rPr>
          <w:rFonts w:ascii="MS Sans Serif" w:hAnsi="MS Sans Serif" w:cs="MS Sans Serif"/>
          <w:sz w:val="16"/>
          <w:szCs w:val="16"/>
          <w:lang w:val="en-US"/>
        </w:rPr>
        <w:tab/>
        <w:t xml:space="preserve"> mg/kg/day</w:t>
      </w:r>
    </w:p>
    <w:p w14:paraId="01ABC92B" w14:textId="77777777" w:rsidR="00CF59EF" w:rsidRDefault="00CF59EF">
      <w:pPr>
        <w:rPr>
          <w:b/>
          <w:lang w:val="en-US" w:eastAsia="nl-NL"/>
        </w:rPr>
      </w:pPr>
    </w:p>
    <w:p w14:paraId="36511651" w14:textId="77777777" w:rsidR="00CF59EF" w:rsidRDefault="00CF59EF">
      <w:pPr>
        <w:rPr>
          <w:b/>
          <w:lang w:val="en-US" w:eastAsia="nl-NL"/>
        </w:rPr>
      </w:pPr>
    </w:p>
    <w:p w14:paraId="5FD1F4E6" w14:textId="77777777" w:rsidR="00CF59EF" w:rsidRDefault="00CF59EF">
      <w:pPr>
        <w:rPr>
          <w:rFonts w:cs="MS Sans Serif"/>
          <w:b/>
          <w:lang w:val="en-US" w:eastAsia="nl-NL"/>
        </w:rPr>
      </w:pPr>
    </w:p>
    <w:p w14:paraId="14ACF360" w14:textId="77777777" w:rsidR="00BE7438" w:rsidRPr="00BE7438" w:rsidRDefault="00BE7438" w:rsidP="00BE7438">
      <w:pPr>
        <w:rPr>
          <w:rFonts w:cs="MS Sans Serif"/>
          <w:b/>
          <w:strike/>
          <w:highlight w:val="yellow"/>
          <w:lang w:val="en-US" w:eastAsia="nl-NL"/>
        </w:rPr>
      </w:pPr>
      <w:r w:rsidRPr="00BE7438">
        <w:rPr>
          <w:rFonts w:cs="MS Sans Serif"/>
          <w:b/>
          <w:strike/>
          <w:highlight w:val="yellow"/>
          <w:lang w:val="en-US" w:eastAsia="nl-NL"/>
        </w:rPr>
        <w:t xml:space="preserve">Exposure scenarios 6 and 7: Use of dishwashing liquids by professionals in the </w:t>
      </w:r>
      <w:proofErr w:type="spellStart"/>
      <w:r w:rsidRPr="00BE7438">
        <w:rPr>
          <w:rFonts w:cs="MS Sans Serif"/>
          <w:b/>
          <w:strike/>
          <w:highlight w:val="yellow"/>
          <w:lang w:val="en-US" w:eastAsia="nl-NL"/>
        </w:rPr>
        <w:t>horeca</w:t>
      </w:r>
      <w:proofErr w:type="spellEnd"/>
      <w:r w:rsidRPr="00BE7438">
        <w:rPr>
          <w:rFonts w:cs="MS Sans Serif"/>
          <w:b/>
          <w:strike/>
          <w:highlight w:val="yellow"/>
          <w:lang w:val="en-US" w:eastAsia="nl-NL"/>
        </w:rPr>
        <w:t xml:space="preserve"> and by consumers (calculation per single event), </w:t>
      </w:r>
      <w:proofErr w:type="spellStart"/>
      <w:r w:rsidRPr="00BE7438">
        <w:rPr>
          <w:rFonts w:cs="MS Sans Serif"/>
          <w:b/>
          <w:strike/>
          <w:highlight w:val="yellow"/>
          <w:lang w:val="en-US" w:eastAsia="nl-NL"/>
        </w:rPr>
        <w:t>ConsExpo</w:t>
      </w:r>
      <w:proofErr w:type="spellEnd"/>
      <w:r w:rsidRPr="00BE7438">
        <w:rPr>
          <w:rFonts w:cs="MS Sans Serif"/>
          <w:b/>
          <w:strike/>
          <w:highlight w:val="yellow"/>
          <w:lang w:val="en-US" w:eastAsia="nl-NL"/>
        </w:rPr>
        <w:t xml:space="preserve"> 4.1</w:t>
      </w:r>
    </w:p>
    <w:p w14:paraId="4A0158DB" w14:textId="77777777" w:rsidR="00BE7438" w:rsidRPr="00BE7438" w:rsidRDefault="00BE7438" w:rsidP="00BE7438">
      <w:pPr>
        <w:rPr>
          <w:rFonts w:cs="MS Sans Serif"/>
          <w:b/>
          <w:strike/>
          <w:highlight w:val="yellow"/>
          <w:lang w:val="en-US" w:eastAsia="nl-NL"/>
        </w:rPr>
      </w:pPr>
    </w:p>
    <w:p w14:paraId="30BA9F21" w14:textId="77777777" w:rsidR="00BE7438" w:rsidRPr="00BE7438" w:rsidRDefault="00BE7438" w:rsidP="00BE7438">
      <w:pPr>
        <w:rPr>
          <w:rFonts w:cs="MS Sans Serif"/>
          <w:b/>
          <w:strike/>
          <w:highlight w:val="yellow"/>
          <w:lang w:val="en-US" w:eastAsia="nl-NL"/>
        </w:rPr>
      </w:pPr>
    </w:p>
    <w:p w14:paraId="0277791A" w14:textId="77777777" w:rsidR="00BE7438" w:rsidRPr="00BE7438" w:rsidRDefault="00BE7438" w:rsidP="00BE7438">
      <w:pPr>
        <w:jc w:val="center"/>
        <w:rPr>
          <w:rFonts w:cs="MS Sans Serif"/>
          <w:b/>
          <w:strike/>
          <w:lang w:val="en-US" w:eastAsia="nl-NL"/>
        </w:rPr>
      </w:pPr>
      <w:proofErr w:type="spellStart"/>
      <w:r w:rsidRPr="00BE7438">
        <w:rPr>
          <w:rFonts w:cs="MS Sans Serif"/>
          <w:b/>
          <w:strike/>
          <w:highlight w:val="yellow"/>
          <w:lang w:val="en-US" w:eastAsia="nl-NL"/>
        </w:rPr>
        <w:lastRenderedPageBreak/>
        <w:t>ConsExpo</w:t>
      </w:r>
      <w:proofErr w:type="spellEnd"/>
      <w:r w:rsidRPr="00BE7438">
        <w:rPr>
          <w:rFonts w:cs="MS Sans Serif"/>
          <w:b/>
          <w:strike/>
          <w:highlight w:val="yellow"/>
          <w:lang w:val="en-US" w:eastAsia="nl-NL"/>
        </w:rPr>
        <w:t xml:space="preserve"> 4.1  report</w:t>
      </w:r>
    </w:p>
    <w:p w14:paraId="3C6D9231" w14:textId="77777777" w:rsidR="00BE7438" w:rsidRDefault="00BE7438">
      <w:pPr>
        <w:rPr>
          <w:rFonts w:cs="MS Sans Serif"/>
          <w:b/>
          <w:lang w:val="en-US" w:eastAsia="nl-NL"/>
        </w:rPr>
      </w:pPr>
    </w:p>
    <w:p w14:paraId="528E4109" w14:textId="77777777" w:rsidR="00CF59EF" w:rsidRDefault="000B5D37">
      <w:pPr>
        <w:rPr>
          <w:rFonts w:cs="MS Sans Serif"/>
          <w:b/>
          <w:lang w:val="en-US" w:eastAsia="nl-NL"/>
        </w:rPr>
      </w:pPr>
      <w:r>
        <w:rPr>
          <w:rFonts w:cs="MS Sans Serif"/>
          <w:b/>
          <w:lang w:val="en-US" w:eastAsia="nl-NL"/>
        </w:rPr>
        <w:t>Exposure scenario 8: Use of laundry products by non-professional users</w:t>
      </w:r>
    </w:p>
    <w:p w14:paraId="3661E1F1" w14:textId="77777777" w:rsidR="00CF59EF" w:rsidRDefault="00CF59EF">
      <w:pPr>
        <w:rPr>
          <w:rFonts w:ascii="MS Sans Serif" w:hAnsi="MS Sans Serif" w:cs="MS Sans Serif"/>
          <w:sz w:val="16"/>
          <w:szCs w:val="16"/>
          <w:lang w:val="en-US" w:eastAsia="nl-NL"/>
        </w:rPr>
      </w:pPr>
    </w:p>
    <w:p w14:paraId="6425B510" w14:textId="77777777"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14:paraId="15A010D7" w14:textId="77777777" w:rsidR="00CF59EF" w:rsidRDefault="00CF59EF">
      <w:pPr>
        <w:jc w:val="center"/>
        <w:rPr>
          <w:rFonts w:ascii="MS Sans Serif" w:hAnsi="MS Sans Serif" w:cs="MS Sans Serif"/>
          <w:sz w:val="16"/>
          <w:szCs w:val="16"/>
          <w:lang w:val="en-US" w:eastAsia="nl-NL"/>
        </w:rPr>
      </w:pPr>
    </w:p>
    <w:p w14:paraId="38B2BC68" w14:textId="77777777"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file name: </w:t>
      </w:r>
    </w:p>
    <w:p w14:paraId="3BF2B361" w14:textId="77777777"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4-10-2016</w:t>
      </w:r>
    </w:p>
    <w:p w14:paraId="68D862A8" w14:textId="77777777" w:rsidR="00CF59EF" w:rsidRDefault="00CF59EF">
      <w:pPr>
        <w:jc w:val="center"/>
        <w:rPr>
          <w:rFonts w:ascii="MS Sans Serif" w:hAnsi="MS Sans Serif" w:cs="MS Sans Serif"/>
          <w:sz w:val="16"/>
          <w:szCs w:val="16"/>
          <w:lang w:val="en-US" w:eastAsia="nl-NL"/>
        </w:rPr>
      </w:pPr>
    </w:p>
    <w:p w14:paraId="504DBFBD" w14:textId="77777777" w:rsidR="00CF59EF" w:rsidRDefault="00CF59EF">
      <w:pPr>
        <w:jc w:val="center"/>
        <w:rPr>
          <w:rFonts w:ascii="MS Sans Serif" w:hAnsi="MS Sans Serif" w:cs="MS Sans Serif"/>
          <w:sz w:val="16"/>
          <w:szCs w:val="16"/>
          <w:lang w:val="en-US" w:eastAsia="nl-NL"/>
        </w:rPr>
      </w:pPr>
    </w:p>
    <w:p w14:paraId="51C1A767" w14:textId="77777777"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14:paraId="0D3FE9EC" w14:textId="77777777" w:rsidR="00CF59EF" w:rsidRDefault="00CF59EF">
      <w:pPr>
        <w:tabs>
          <w:tab w:val="left" w:pos="0"/>
        </w:tabs>
        <w:ind w:left="400"/>
        <w:rPr>
          <w:rFonts w:ascii="MS Sans Serif" w:hAnsi="MS Sans Serif" w:cs="MS Sans Serif"/>
          <w:sz w:val="16"/>
          <w:szCs w:val="16"/>
          <w:lang w:val="en-US" w:eastAsia="nl-NL"/>
        </w:rPr>
      </w:pPr>
    </w:p>
    <w:p w14:paraId="67FDAB7E" w14:textId="77777777"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14:paraId="09A8F9C9" w14:textId="77777777" w:rsidR="00CF59EF" w:rsidRDefault="00CF59EF">
      <w:pPr>
        <w:tabs>
          <w:tab w:val="left" w:pos="0"/>
        </w:tabs>
        <w:ind w:left="400"/>
        <w:rPr>
          <w:rFonts w:ascii="MS Sans Serif" w:hAnsi="MS Sans Serif" w:cs="MS Sans Serif"/>
          <w:sz w:val="16"/>
          <w:szCs w:val="16"/>
          <w:lang w:val="en-US" w:eastAsia="nl-NL"/>
        </w:rPr>
      </w:pPr>
    </w:p>
    <w:p w14:paraId="328354E9" w14:textId="77777777"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14:paraId="735D2DA8"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8AD7D04"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14:paraId="12A1ED6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14:paraId="691C5D6E"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14:paraId="003931D6"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14:paraId="2D398F4C"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14:paraId="143B2510"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14:paraId="3C099F7E"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83885F4"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104       </w:t>
      </w:r>
      <w:r>
        <w:rPr>
          <w:rFonts w:ascii="MS Sans Serif" w:hAnsi="MS Sans Serif" w:cs="MS Sans Serif"/>
          <w:sz w:val="16"/>
          <w:szCs w:val="16"/>
          <w:lang w:val="en-US" w:eastAsia="nl-NL"/>
        </w:rPr>
        <w:tab/>
        <w:t xml:space="preserve">1/year              </w:t>
      </w:r>
    </w:p>
    <w:p w14:paraId="0B77D209"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14:paraId="0EC1686F"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2CD0108A"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model: Direct dermal contact with product : instant application</w:t>
      </w:r>
    </w:p>
    <w:p w14:paraId="45174A0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2980152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0,025     </w:t>
      </w:r>
      <w:r>
        <w:rPr>
          <w:rFonts w:ascii="MS Sans Serif" w:hAnsi="MS Sans Serif" w:cs="MS Sans Serif"/>
          <w:sz w:val="16"/>
          <w:szCs w:val="16"/>
          <w:lang w:val="en-US" w:eastAsia="nl-NL"/>
        </w:rPr>
        <w:tab/>
        <w:t xml:space="preserve">%                   </w:t>
      </w:r>
    </w:p>
    <w:p w14:paraId="31B984B7"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exposed area                  </w:t>
      </w:r>
      <w:r>
        <w:rPr>
          <w:rFonts w:ascii="MS Sans Serif" w:hAnsi="MS Sans Serif" w:cs="MS Sans Serif"/>
          <w:sz w:val="16"/>
          <w:szCs w:val="16"/>
          <w:lang w:val="en-US" w:eastAsia="nl-NL"/>
        </w:rPr>
        <w:tab/>
        <w:t xml:space="preserve">1,95E3    </w:t>
      </w:r>
      <w:r>
        <w:rPr>
          <w:rFonts w:ascii="MS Sans Serif" w:hAnsi="MS Sans Serif" w:cs="MS Sans Serif"/>
          <w:sz w:val="16"/>
          <w:szCs w:val="16"/>
          <w:lang w:val="en-US" w:eastAsia="nl-NL"/>
        </w:rPr>
        <w:tab/>
        <w:t xml:space="preserve">cm2                 </w:t>
      </w:r>
    </w:p>
    <w:p w14:paraId="352535C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19,5      </w:t>
      </w:r>
      <w:r>
        <w:rPr>
          <w:rFonts w:ascii="MS Sans Serif" w:hAnsi="MS Sans Serif" w:cs="MS Sans Serif"/>
          <w:sz w:val="16"/>
          <w:szCs w:val="16"/>
          <w:lang w:val="en-US" w:eastAsia="nl-NL"/>
        </w:rPr>
        <w:tab/>
        <w:t xml:space="preserve">gram                </w:t>
      </w:r>
    </w:p>
    <w:p w14:paraId="6F8BD55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284A5ED"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14:paraId="15DE52D6"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D1C9823"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75        </w:t>
      </w:r>
      <w:r>
        <w:rPr>
          <w:rFonts w:ascii="MS Sans Serif" w:hAnsi="MS Sans Serif" w:cs="MS Sans Serif"/>
          <w:sz w:val="16"/>
          <w:szCs w:val="16"/>
          <w:lang w:val="en-US" w:eastAsia="nl-NL"/>
        </w:rPr>
        <w:tab/>
        <w:t xml:space="preserve">%                   </w:t>
      </w:r>
    </w:p>
    <w:p w14:paraId="1D0539A1"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C8090D4" w14:textId="77777777"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14:paraId="1B410FD3"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2A08E067"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3195A596"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 point estimates</w:t>
      </w:r>
    </w:p>
    <w:p w14:paraId="54FE40FC"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90FE70D"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load :           </w:t>
      </w:r>
      <w:r>
        <w:rPr>
          <w:rFonts w:ascii="MS Sans Serif" w:hAnsi="MS Sans Serif" w:cs="MS Sans Serif"/>
          <w:sz w:val="16"/>
          <w:szCs w:val="16"/>
          <w:lang w:val="en-US" w:eastAsia="nl-NL"/>
        </w:rPr>
        <w:tab/>
        <w:t>0,0025</w:t>
      </w:r>
      <w:r>
        <w:rPr>
          <w:rFonts w:ascii="MS Sans Serif" w:hAnsi="MS Sans Serif" w:cs="MS Sans Serif"/>
          <w:sz w:val="16"/>
          <w:szCs w:val="16"/>
          <w:lang w:val="en-US" w:eastAsia="nl-NL"/>
        </w:rPr>
        <w:tab/>
        <w:t xml:space="preserve"> mg/cm2</w:t>
      </w:r>
    </w:p>
    <w:p w14:paraId="321FBFF4"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external dose : </w:t>
      </w:r>
      <w:r>
        <w:rPr>
          <w:rFonts w:ascii="MS Sans Serif" w:hAnsi="MS Sans Serif" w:cs="MS Sans Serif"/>
          <w:sz w:val="16"/>
          <w:szCs w:val="16"/>
          <w:lang w:val="en-US" w:eastAsia="nl-NL"/>
        </w:rPr>
        <w:tab/>
        <w:t>0,0812</w:t>
      </w:r>
      <w:r>
        <w:rPr>
          <w:rFonts w:ascii="MS Sans Serif" w:hAnsi="MS Sans Serif" w:cs="MS Sans Serif"/>
          <w:sz w:val="16"/>
          <w:szCs w:val="16"/>
          <w:lang w:val="en-US" w:eastAsia="nl-NL"/>
        </w:rPr>
        <w:tab/>
        <w:t xml:space="preserve"> mg/kg</w:t>
      </w:r>
    </w:p>
    <w:p w14:paraId="0713D28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acute (internal) dose :     </w:t>
      </w:r>
      <w:r>
        <w:rPr>
          <w:rFonts w:ascii="MS Sans Serif" w:hAnsi="MS Sans Serif" w:cs="MS Sans Serif"/>
          <w:sz w:val="16"/>
          <w:szCs w:val="16"/>
          <w:lang w:val="en-US" w:eastAsia="nl-NL"/>
        </w:rPr>
        <w:tab/>
        <w:t>0,0609</w:t>
      </w:r>
      <w:r>
        <w:rPr>
          <w:rFonts w:ascii="MS Sans Serif" w:hAnsi="MS Sans Serif" w:cs="MS Sans Serif"/>
          <w:sz w:val="16"/>
          <w:szCs w:val="16"/>
          <w:lang w:val="en-US" w:eastAsia="nl-NL"/>
        </w:rPr>
        <w:tab/>
        <w:t xml:space="preserve"> mg/kg</w:t>
      </w:r>
    </w:p>
    <w:p w14:paraId="1E7F50B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chronic (internal) dose :     </w:t>
      </w:r>
      <w:r>
        <w:rPr>
          <w:rFonts w:ascii="MS Sans Serif" w:hAnsi="MS Sans Serif" w:cs="MS Sans Serif"/>
          <w:sz w:val="16"/>
          <w:szCs w:val="16"/>
          <w:lang w:val="en-US" w:eastAsia="nl-NL"/>
        </w:rPr>
        <w:tab/>
        <w:t>0,0173</w:t>
      </w:r>
      <w:r>
        <w:rPr>
          <w:rFonts w:ascii="MS Sans Serif" w:hAnsi="MS Sans Serif" w:cs="MS Sans Serif"/>
          <w:sz w:val="16"/>
          <w:szCs w:val="16"/>
          <w:lang w:val="en-US" w:eastAsia="nl-NL"/>
        </w:rPr>
        <w:tab/>
        <w:t xml:space="preserve"> mg/kg/day</w:t>
      </w:r>
    </w:p>
    <w:p w14:paraId="15476820"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F725496"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14:paraId="1023EAD7"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4CF506C2"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0,0812</w:t>
      </w:r>
      <w:r>
        <w:rPr>
          <w:rFonts w:ascii="MS Sans Serif" w:hAnsi="MS Sans Serif" w:cs="MS Sans Serif"/>
          <w:sz w:val="16"/>
          <w:szCs w:val="16"/>
          <w:lang w:val="en-US" w:eastAsia="nl-NL"/>
        </w:rPr>
        <w:tab/>
        <w:t xml:space="preserve"> mg/kg</w:t>
      </w:r>
    </w:p>
    <w:p w14:paraId="6F11135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0,0609</w:t>
      </w:r>
      <w:r>
        <w:rPr>
          <w:rFonts w:ascii="MS Sans Serif" w:hAnsi="MS Sans Serif" w:cs="MS Sans Serif"/>
          <w:sz w:val="16"/>
          <w:szCs w:val="16"/>
          <w:lang w:val="en-US" w:eastAsia="nl-NL"/>
        </w:rPr>
        <w:tab/>
        <w:t xml:space="preserve"> mg/kg</w:t>
      </w:r>
    </w:p>
    <w:p w14:paraId="7D20131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0,0173</w:t>
      </w:r>
      <w:r>
        <w:rPr>
          <w:rFonts w:ascii="MS Sans Serif" w:hAnsi="MS Sans Serif" w:cs="MS Sans Serif"/>
          <w:sz w:val="16"/>
          <w:szCs w:val="16"/>
          <w:lang w:val="en-US" w:eastAsia="nl-NL"/>
        </w:rPr>
        <w:tab/>
        <w:t xml:space="preserve"> mg/kg/day</w:t>
      </w:r>
    </w:p>
    <w:p w14:paraId="528A8BB7" w14:textId="77777777" w:rsidR="00CF59EF" w:rsidRDefault="00CF59EF">
      <w:pPr>
        <w:pStyle w:val="Caption"/>
        <w:rPr>
          <w:rFonts w:ascii="Verdana" w:eastAsia="Calibri" w:hAnsi="Verdana"/>
          <w:b/>
          <w:lang w:val="en-US" w:eastAsia="en-US"/>
        </w:rPr>
      </w:pPr>
    </w:p>
    <w:p w14:paraId="281EC446" w14:textId="77777777" w:rsidR="00CF59EF" w:rsidRDefault="000B5D37">
      <w:pPr>
        <w:pStyle w:val="Caption"/>
        <w:rPr>
          <w:rFonts w:ascii="Verdana" w:eastAsia="Calibri" w:hAnsi="Verdana"/>
          <w:b/>
          <w:lang w:val="en-US" w:eastAsia="en-US"/>
        </w:rPr>
      </w:pPr>
      <w:r>
        <w:rPr>
          <w:rFonts w:ascii="Verdana" w:eastAsia="Calibri" w:hAnsi="Verdana"/>
          <w:b/>
          <w:lang w:val="en-US" w:eastAsia="en-US"/>
        </w:rPr>
        <w:t>Exposure scenario 9: Use of all-purpose cleaners by non-professional users</w:t>
      </w:r>
    </w:p>
    <w:p w14:paraId="3F5C6E46" w14:textId="77777777" w:rsidR="00CF59EF" w:rsidRDefault="00CF59EF">
      <w:pPr>
        <w:rPr>
          <w:rFonts w:eastAsia="Calibri"/>
          <w:b/>
          <w:caps/>
          <w:sz w:val="28"/>
          <w:szCs w:val="28"/>
          <w:lang w:val="en-US" w:eastAsia="en-US"/>
        </w:rPr>
      </w:pPr>
    </w:p>
    <w:p w14:paraId="57FF39C9" w14:textId="77777777"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14:paraId="7558C35C" w14:textId="77777777" w:rsidR="00CF59EF" w:rsidRDefault="00CF59EF">
      <w:pPr>
        <w:jc w:val="center"/>
        <w:rPr>
          <w:rFonts w:ascii="MS Sans Serif" w:hAnsi="MS Sans Serif" w:cs="MS Sans Serif"/>
          <w:sz w:val="16"/>
          <w:szCs w:val="16"/>
          <w:lang w:val="en-US" w:eastAsia="nl-NL"/>
        </w:rPr>
      </w:pPr>
    </w:p>
    <w:p w14:paraId="694B9D7A" w14:textId="77777777"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27-9-2016</w:t>
      </w:r>
    </w:p>
    <w:p w14:paraId="14E5314E" w14:textId="77777777" w:rsidR="00CF59EF" w:rsidRDefault="00CF59EF">
      <w:pPr>
        <w:jc w:val="center"/>
        <w:rPr>
          <w:rFonts w:ascii="MS Sans Serif" w:hAnsi="MS Sans Serif" w:cs="MS Sans Serif"/>
          <w:sz w:val="16"/>
          <w:szCs w:val="16"/>
          <w:lang w:val="en-US" w:eastAsia="nl-NL"/>
        </w:rPr>
      </w:pPr>
    </w:p>
    <w:p w14:paraId="37A14AF6" w14:textId="77777777" w:rsidR="00CF59EF" w:rsidRDefault="00CF59EF">
      <w:pPr>
        <w:jc w:val="center"/>
        <w:rPr>
          <w:rFonts w:ascii="MS Sans Serif" w:hAnsi="MS Sans Serif" w:cs="MS Sans Serif"/>
          <w:sz w:val="16"/>
          <w:szCs w:val="16"/>
          <w:lang w:val="en-US" w:eastAsia="nl-NL"/>
        </w:rPr>
      </w:pPr>
    </w:p>
    <w:p w14:paraId="41C5A01A" w14:textId="77777777"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14:paraId="559BCC07" w14:textId="77777777" w:rsidR="00CF59EF" w:rsidRDefault="00CF59EF">
      <w:pPr>
        <w:tabs>
          <w:tab w:val="left" w:pos="0"/>
        </w:tabs>
        <w:ind w:left="400"/>
        <w:rPr>
          <w:rFonts w:ascii="MS Sans Serif" w:hAnsi="MS Sans Serif" w:cs="MS Sans Serif"/>
          <w:sz w:val="16"/>
          <w:szCs w:val="16"/>
          <w:lang w:val="en-US" w:eastAsia="nl-NL"/>
        </w:rPr>
      </w:pPr>
    </w:p>
    <w:p w14:paraId="54EF066D" w14:textId="77777777"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14:paraId="70D6744A" w14:textId="77777777" w:rsidR="00CF59EF" w:rsidRDefault="00CF59EF">
      <w:pPr>
        <w:tabs>
          <w:tab w:val="left" w:pos="0"/>
        </w:tabs>
        <w:ind w:left="400"/>
        <w:rPr>
          <w:rFonts w:ascii="MS Sans Serif" w:hAnsi="MS Sans Serif" w:cs="MS Sans Serif"/>
          <w:sz w:val="16"/>
          <w:szCs w:val="16"/>
          <w:lang w:val="en-US" w:eastAsia="nl-NL"/>
        </w:rPr>
      </w:pPr>
    </w:p>
    <w:p w14:paraId="6E381BEA" w14:textId="77777777"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14:paraId="7993C28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49AFC94"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lastRenderedPageBreak/>
        <w:t xml:space="preserve">Compound name : </w:t>
      </w:r>
      <w:r>
        <w:rPr>
          <w:rFonts w:ascii="MS Sans Serif" w:hAnsi="MS Sans Serif" w:cs="MS Sans Serif"/>
          <w:sz w:val="16"/>
          <w:szCs w:val="16"/>
          <w:lang w:val="en-US" w:eastAsia="nl-NL"/>
        </w:rPr>
        <w:tab/>
        <w:t xml:space="preserve"> Sodium benzoate</w:t>
      </w:r>
    </w:p>
    <w:p w14:paraId="38D88884"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14:paraId="65FA061E"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14:paraId="43C9A8C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14:paraId="2A5BD79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14:paraId="206BAAA2"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14:paraId="5D7DC15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C6F4B86"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104       </w:t>
      </w:r>
      <w:r>
        <w:rPr>
          <w:rFonts w:ascii="MS Sans Serif" w:hAnsi="MS Sans Serif" w:cs="MS Sans Serif"/>
          <w:sz w:val="16"/>
          <w:szCs w:val="16"/>
          <w:lang w:val="en-US" w:eastAsia="nl-NL"/>
        </w:rPr>
        <w:tab/>
        <w:t xml:space="preserve">1/year              </w:t>
      </w:r>
    </w:p>
    <w:p w14:paraId="14B1258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14:paraId="6AF886D3"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B5938FF"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 xml:space="preserve">Inhalation model: Exposure to </w:t>
      </w:r>
      <w:proofErr w:type="spellStart"/>
      <w:r>
        <w:rPr>
          <w:rFonts w:ascii="MS Sans Serif" w:hAnsi="MS Sans Serif" w:cs="MS Sans Serif"/>
          <w:b/>
          <w:bCs/>
          <w:sz w:val="16"/>
          <w:szCs w:val="16"/>
          <w:u w:val="single"/>
          <w:lang w:val="en-US" w:eastAsia="nl-NL"/>
        </w:rPr>
        <w:t>vapour</w:t>
      </w:r>
      <w:proofErr w:type="spellEnd"/>
      <w:r>
        <w:rPr>
          <w:rFonts w:ascii="MS Sans Serif" w:hAnsi="MS Sans Serif" w:cs="MS Sans Serif"/>
          <w:b/>
          <w:bCs/>
          <w:sz w:val="16"/>
          <w:szCs w:val="16"/>
          <w:u w:val="single"/>
          <w:lang w:val="en-US" w:eastAsia="nl-NL"/>
        </w:rPr>
        <w:t xml:space="preserve"> : evaporation</w:t>
      </w:r>
    </w:p>
    <w:p w14:paraId="08EC81A8"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7436B689"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0,031     </w:t>
      </w:r>
      <w:r>
        <w:rPr>
          <w:rFonts w:ascii="MS Sans Serif" w:hAnsi="MS Sans Serif" w:cs="MS Sans Serif"/>
          <w:sz w:val="16"/>
          <w:szCs w:val="16"/>
          <w:lang w:val="en-US" w:eastAsia="nl-NL"/>
        </w:rPr>
        <w:tab/>
        <w:t xml:space="preserve">%                   </w:t>
      </w:r>
    </w:p>
    <w:p w14:paraId="7205A1EC"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duration             </w:t>
      </w:r>
      <w:r>
        <w:rPr>
          <w:rFonts w:ascii="MS Sans Serif" w:hAnsi="MS Sans Serif" w:cs="MS Sans Serif"/>
          <w:sz w:val="16"/>
          <w:szCs w:val="16"/>
          <w:lang w:val="en-US" w:eastAsia="nl-NL"/>
        </w:rPr>
        <w:tab/>
        <w:t xml:space="preserve">240       </w:t>
      </w:r>
      <w:r>
        <w:rPr>
          <w:rFonts w:ascii="MS Sans Serif" w:hAnsi="MS Sans Serif" w:cs="MS Sans Serif"/>
          <w:sz w:val="16"/>
          <w:szCs w:val="16"/>
          <w:lang w:val="en-US" w:eastAsia="nl-NL"/>
        </w:rPr>
        <w:tab/>
        <w:t xml:space="preserve">minute              </w:t>
      </w:r>
    </w:p>
    <w:p w14:paraId="5D21DA3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room volume                   </w:t>
      </w:r>
      <w:r>
        <w:rPr>
          <w:rFonts w:ascii="MS Sans Serif" w:hAnsi="MS Sans Serif" w:cs="MS Sans Serif"/>
          <w:sz w:val="16"/>
          <w:szCs w:val="16"/>
          <w:lang w:val="en-US" w:eastAsia="nl-NL"/>
        </w:rPr>
        <w:tab/>
        <w:t xml:space="preserve">58        </w:t>
      </w:r>
      <w:r>
        <w:rPr>
          <w:rFonts w:ascii="MS Sans Serif" w:hAnsi="MS Sans Serif" w:cs="MS Sans Serif"/>
          <w:sz w:val="16"/>
          <w:szCs w:val="16"/>
          <w:lang w:val="en-US" w:eastAsia="nl-NL"/>
        </w:rPr>
        <w:tab/>
        <w:t xml:space="preserve">m3                  </w:t>
      </w:r>
    </w:p>
    <w:p w14:paraId="76BC3C39"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ventilation rate              </w:t>
      </w:r>
      <w:r>
        <w:rPr>
          <w:rFonts w:ascii="MS Sans Serif" w:hAnsi="MS Sans Serif" w:cs="MS Sans Serif"/>
          <w:sz w:val="16"/>
          <w:szCs w:val="16"/>
          <w:lang w:val="en-US" w:eastAsia="nl-NL"/>
        </w:rPr>
        <w:tab/>
        <w:t xml:space="preserve">0,5       </w:t>
      </w:r>
      <w:r>
        <w:rPr>
          <w:rFonts w:ascii="MS Sans Serif" w:hAnsi="MS Sans Serif" w:cs="MS Sans Serif"/>
          <w:sz w:val="16"/>
          <w:szCs w:val="16"/>
          <w:lang w:val="en-US" w:eastAsia="nl-NL"/>
        </w:rPr>
        <w:tab/>
        <w:t>1/</w:t>
      </w:r>
      <w:proofErr w:type="spellStart"/>
      <w:r>
        <w:rPr>
          <w:rFonts w:ascii="MS Sans Serif" w:hAnsi="MS Sans Serif" w:cs="MS Sans Serif"/>
          <w:sz w:val="16"/>
          <w:szCs w:val="16"/>
          <w:lang w:val="en-US" w:eastAsia="nl-NL"/>
        </w:rPr>
        <w:t>hr</w:t>
      </w:r>
      <w:proofErr w:type="spellEnd"/>
      <w:r>
        <w:rPr>
          <w:rFonts w:ascii="MS Sans Serif" w:hAnsi="MS Sans Serif" w:cs="MS Sans Serif"/>
          <w:sz w:val="16"/>
          <w:szCs w:val="16"/>
          <w:lang w:val="en-US" w:eastAsia="nl-NL"/>
        </w:rPr>
        <w:t xml:space="preserve">                </w:t>
      </w:r>
    </w:p>
    <w:p w14:paraId="2E5F6047"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400       </w:t>
      </w:r>
      <w:r>
        <w:rPr>
          <w:rFonts w:ascii="MS Sans Serif" w:hAnsi="MS Sans Serif" w:cs="MS Sans Serif"/>
          <w:sz w:val="16"/>
          <w:szCs w:val="16"/>
          <w:lang w:val="en-US" w:eastAsia="nl-NL"/>
        </w:rPr>
        <w:tab/>
        <w:t xml:space="preserve">gram                </w:t>
      </w:r>
    </w:p>
    <w:p w14:paraId="1BFD4A27"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release area                  </w:t>
      </w:r>
      <w:r>
        <w:rPr>
          <w:rFonts w:ascii="MS Sans Serif" w:hAnsi="MS Sans Serif" w:cs="MS Sans Serif"/>
          <w:sz w:val="16"/>
          <w:szCs w:val="16"/>
          <w:lang w:val="en-US" w:eastAsia="nl-NL"/>
        </w:rPr>
        <w:tab/>
        <w:t xml:space="preserve">1E5       </w:t>
      </w:r>
      <w:r>
        <w:rPr>
          <w:rFonts w:ascii="MS Sans Serif" w:hAnsi="MS Sans Serif" w:cs="MS Sans Serif"/>
          <w:sz w:val="16"/>
          <w:szCs w:val="16"/>
          <w:lang w:val="en-US" w:eastAsia="nl-NL"/>
        </w:rPr>
        <w:tab/>
        <w:t xml:space="preserve">cm2                 </w:t>
      </w:r>
    </w:p>
    <w:p w14:paraId="5F128326"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application duration          </w:t>
      </w:r>
      <w:r>
        <w:rPr>
          <w:rFonts w:ascii="MS Sans Serif" w:hAnsi="MS Sans Serif" w:cs="MS Sans Serif"/>
          <w:sz w:val="16"/>
          <w:szCs w:val="16"/>
          <w:lang w:val="en-US" w:eastAsia="nl-NL"/>
        </w:rPr>
        <w:tab/>
        <w:t xml:space="preserve">20        </w:t>
      </w:r>
      <w:r>
        <w:rPr>
          <w:rFonts w:ascii="MS Sans Serif" w:hAnsi="MS Sans Serif" w:cs="MS Sans Serif"/>
          <w:sz w:val="16"/>
          <w:szCs w:val="16"/>
          <w:lang w:val="en-US" w:eastAsia="nl-NL"/>
        </w:rPr>
        <w:tab/>
        <w:t xml:space="preserve">minute              </w:t>
      </w:r>
    </w:p>
    <w:p w14:paraId="643E1F7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 weight matrix             </w:t>
      </w:r>
      <w:r>
        <w:rPr>
          <w:rFonts w:ascii="MS Sans Serif" w:hAnsi="MS Sans Serif" w:cs="MS Sans Serif"/>
          <w:sz w:val="16"/>
          <w:szCs w:val="16"/>
          <w:lang w:val="en-US" w:eastAsia="nl-NL"/>
        </w:rPr>
        <w:tab/>
        <w:t xml:space="preserve">18        </w:t>
      </w:r>
      <w:r>
        <w:rPr>
          <w:rFonts w:ascii="MS Sans Serif" w:hAnsi="MS Sans Serif" w:cs="MS Sans Serif"/>
          <w:sz w:val="16"/>
          <w:szCs w:val="16"/>
          <w:lang w:val="en-US" w:eastAsia="nl-NL"/>
        </w:rPr>
        <w:tab/>
        <w:t xml:space="preserve">g/mol               </w:t>
      </w:r>
    </w:p>
    <w:p w14:paraId="3E4B2B0C"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mass transfer rate            </w:t>
      </w:r>
      <w:r>
        <w:rPr>
          <w:rFonts w:ascii="MS Sans Serif" w:hAnsi="MS Sans Serif" w:cs="MS Sans Serif"/>
          <w:sz w:val="16"/>
          <w:szCs w:val="16"/>
          <w:lang w:val="en-US" w:eastAsia="nl-NL"/>
        </w:rPr>
        <w:tab/>
        <w:t xml:space="preserve">3,38E3    </w:t>
      </w:r>
      <w:r>
        <w:rPr>
          <w:rFonts w:ascii="MS Sans Serif" w:hAnsi="MS Sans Serif" w:cs="MS Sans Serif"/>
          <w:sz w:val="16"/>
          <w:szCs w:val="16"/>
          <w:lang w:val="en-US" w:eastAsia="nl-NL"/>
        </w:rPr>
        <w:tab/>
        <w:t xml:space="preserve">m/min               </w:t>
      </w:r>
    </w:p>
    <w:p w14:paraId="64BF3204"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15EEA84F"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14:paraId="7FBBA4E7"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CB239B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100       </w:t>
      </w:r>
      <w:r>
        <w:rPr>
          <w:rFonts w:ascii="MS Sans Serif" w:hAnsi="MS Sans Serif" w:cs="MS Sans Serif"/>
          <w:sz w:val="16"/>
          <w:szCs w:val="16"/>
          <w:lang w:val="en-US" w:eastAsia="nl-NL"/>
        </w:rPr>
        <w:tab/>
        <w:t xml:space="preserve">%                   </w:t>
      </w:r>
    </w:p>
    <w:p w14:paraId="3C5BF3D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rate               </w:t>
      </w:r>
      <w:r>
        <w:rPr>
          <w:rFonts w:ascii="MS Sans Serif" w:hAnsi="MS Sans Serif" w:cs="MS Sans Serif"/>
          <w:sz w:val="16"/>
          <w:szCs w:val="16"/>
          <w:lang w:val="en-US" w:eastAsia="nl-NL"/>
        </w:rPr>
        <w:tab/>
        <w:t xml:space="preserve">1,25      </w:t>
      </w:r>
      <w:r>
        <w:rPr>
          <w:rFonts w:ascii="MS Sans Serif" w:hAnsi="MS Sans Serif" w:cs="MS Sans Serif"/>
          <w:sz w:val="16"/>
          <w:szCs w:val="16"/>
          <w:lang w:val="en-US" w:eastAsia="nl-NL"/>
        </w:rPr>
        <w:tab/>
        <w:t xml:space="preserve">m3/hour             </w:t>
      </w:r>
    </w:p>
    <w:p w14:paraId="2EA7912C"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D7912AF"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model: Direct dermal contact with product : instant application</w:t>
      </w:r>
    </w:p>
    <w:p w14:paraId="58CEAB46"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B8D8542"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0,031     </w:t>
      </w:r>
      <w:r>
        <w:rPr>
          <w:rFonts w:ascii="MS Sans Serif" w:hAnsi="MS Sans Serif" w:cs="MS Sans Serif"/>
          <w:sz w:val="16"/>
          <w:szCs w:val="16"/>
          <w:lang w:val="en-US" w:eastAsia="nl-NL"/>
        </w:rPr>
        <w:tab/>
        <w:t xml:space="preserve">%                   </w:t>
      </w:r>
    </w:p>
    <w:p w14:paraId="4F3DECD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exposed area                  </w:t>
      </w:r>
      <w:r>
        <w:rPr>
          <w:rFonts w:ascii="MS Sans Serif" w:hAnsi="MS Sans Serif" w:cs="MS Sans Serif"/>
          <w:sz w:val="16"/>
          <w:szCs w:val="16"/>
          <w:lang w:val="en-US" w:eastAsia="nl-NL"/>
        </w:rPr>
        <w:tab/>
        <w:t xml:space="preserve">1,95E3    </w:t>
      </w:r>
      <w:r>
        <w:rPr>
          <w:rFonts w:ascii="MS Sans Serif" w:hAnsi="MS Sans Serif" w:cs="MS Sans Serif"/>
          <w:sz w:val="16"/>
          <w:szCs w:val="16"/>
          <w:lang w:val="en-US" w:eastAsia="nl-NL"/>
        </w:rPr>
        <w:tab/>
        <w:t xml:space="preserve">cm2                 </w:t>
      </w:r>
    </w:p>
    <w:p w14:paraId="15B5142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1,95      </w:t>
      </w:r>
      <w:r>
        <w:rPr>
          <w:rFonts w:ascii="MS Sans Serif" w:hAnsi="MS Sans Serif" w:cs="MS Sans Serif"/>
          <w:sz w:val="16"/>
          <w:szCs w:val="16"/>
          <w:lang w:val="en-US" w:eastAsia="nl-NL"/>
        </w:rPr>
        <w:tab/>
        <w:t xml:space="preserve">gram                </w:t>
      </w:r>
    </w:p>
    <w:p w14:paraId="5ED41B80"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A2FE1D5"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14:paraId="69F7642B"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2CAC3E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75        </w:t>
      </w:r>
      <w:r>
        <w:rPr>
          <w:rFonts w:ascii="MS Sans Serif" w:hAnsi="MS Sans Serif" w:cs="MS Sans Serif"/>
          <w:sz w:val="16"/>
          <w:szCs w:val="16"/>
          <w:lang w:val="en-US" w:eastAsia="nl-NL"/>
        </w:rPr>
        <w:tab/>
        <w:t xml:space="preserve">%                   </w:t>
      </w:r>
    </w:p>
    <w:p w14:paraId="47C944B0"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F5CE563" w14:textId="77777777"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14:paraId="79D8CB72"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0D01D55E"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1A6341DB"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Inhalation (point estimates)</w:t>
      </w:r>
    </w:p>
    <w:p w14:paraId="6CE225B4"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ACD5E9B"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mean event concentration :             </w:t>
      </w:r>
      <w:r>
        <w:rPr>
          <w:rFonts w:ascii="MS Sans Serif" w:hAnsi="MS Sans Serif" w:cs="MS Sans Serif"/>
          <w:sz w:val="16"/>
          <w:szCs w:val="16"/>
          <w:lang w:val="en-US" w:eastAsia="nl-NL"/>
        </w:rPr>
        <w:tab/>
        <w:t>2,29E-6</w:t>
      </w:r>
      <w:r>
        <w:rPr>
          <w:rFonts w:ascii="MS Sans Serif" w:hAnsi="MS Sans Serif" w:cs="MS Sans Serif"/>
          <w:sz w:val="16"/>
          <w:szCs w:val="16"/>
          <w:lang w:val="en-US" w:eastAsia="nl-NL"/>
        </w:rPr>
        <w:tab/>
        <w:t xml:space="preserve"> mg/m3</w:t>
      </w:r>
    </w:p>
    <w:p w14:paraId="73B32FA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mean concentration on day of exposure: </w:t>
      </w:r>
      <w:r>
        <w:rPr>
          <w:rFonts w:ascii="MS Sans Serif" w:hAnsi="MS Sans Serif" w:cs="MS Sans Serif"/>
          <w:sz w:val="16"/>
          <w:szCs w:val="16"/>
          <w:lang w:val="en-US" w:eastAsia="nl-NL"/>
        </w:rPr>
        <w:tab/>
        <w:t>3,82E-7</w:t>
      </w:r>
      <w:r>
        <w:rPr>
          <w:rFonts w:ascii="MS Sans Serif" w:hAnsi="MS Sans Serif" w:cs="MS Sans Serif"/>
          <w:sz w:val="16"/>
          <w:szCs w:val="16"/>
          <w:lang w:val="en-US" w:eastAsia="nl-NL"/>
        </w:rPr>
        <w:tab/>
        <w:t xml:space="preserve"> mg/m3</w:t>
      </w:r>
    </w:p>
    <w:p w14:paraId="3C382795"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air concentration year average :       </w:t>
      </w:r>
      <w:r>
        <w:rPr>
          <w:rFonts w:ascii="MS Sans Serif" w:hAnsi="MS Sans Serif" w:cs="MS Sans Serif"/>
          <w:sz w:val="16"/>
          <w:szCs w:val="16"/>
          <w:lang w:val="en-US" w:eastAsia="nl-NL"/>
        </w:rPr>
        <w:tab/>
        <w:t>1,09E-7</w:t>
      </w:r>
      <w:r>
        <w:rPr>
          <w:rFonts w:ascii="MS Sans Serif" w:hAnsi="MS Sans Serif" w:cs="MS Sans Serif"/>
          <w:sz w:val="16"/>
          <w:szCs w:val="16"/>
          <w:lang w:val="en-US" w:eastAsia="nl-NL"/>
        </w:rPr>
        <w:tab/>
        <w:t xml:space="preserve"> mg/m3/day</w:t>
      </w:r>
    </w:p>
    <w:p w14:paraId="51535A2B" w14:textId="77777777" w:rsidR="00CF59EF" w:rsidRDefault="000B5D37">
      <w:pPr>
        <w:tabs>
          <w:tab w:val="left" w:pos="4200"/>
          <w:tab w:val="left" w:pos="6400"/>
          <w:tab w:val="left" w:pos="7800"/>
        </w:tabs>
        <w:ind w:left="400"/>
        <w:rPr>
          <w:rFonts w:ascii="MS Sans Serif" w:hAnsi="MS Sans Serif" w:cs="MS Sans Serif"/>
          <w:sz w:val="16"/>
          <w:szCs w:val="16"/>
          <w:lang w:val="de-AT" w:eastAsia="nl-NL"/>
        </w:rPr>
      </w:pPr>
      <w:proofErr w:type="spellStart"/>
      <w:r>
        <w:rPr>
          <w:rFonts w:ascii="MS Sans Serif" w:hAnsi="MS Sans Serif" w:cs="MS Sans Serif"/>
          <w:sz w:val="16"/>
          <w:szCs w:val="16"/>
          <w:lang w:val="de-AT" w:eastAsia="nl-NL"/>
        </w:rPr>
        <w:t>inhalation</w:t>
      </w:r>
      <w:proofErr w:type="spellEnd"/>
      <w:r>
        <w:rPr>
          <w:rFonts w:ascii="MS Sans Serif" w:hAnsi="MS Sans Serif" w:cs="MS Sans Serif"/>
          <w:sz w:val="16"/>
          <w:szCs w:val="16"/>
          <w:lang w:val="de-AT" w:eastAsia="nl-NL"/>
        </w:rPr>
        <w:t xml:space="preserve"> </w:t>
      </w:r>
      <w:proofErr w:type="spellStart"/>
      <w:r>
        <w:rPr>
          <w:rFonts w:ascii="MS Sans Serif" w:hAnsi="MS Sans Serif" w:cs="MS Sans Serif"/>
          <w:sz w:val="16"/>
          <w:szCs w:val="16"/>
          <w:lang w:val="de-AT" w:eastAsia="nl-NL"/>
        </w:rPr>
        <w:t>acute</w:t>
      </w:r>
      <w:proofErr w:type="spellEnd"/>
      <w:r>
        <w:rPr>
          <w:rFonts w:ascii="MS Sans Serif" w:hAnsi="MS Sans Serif" w:cs="MS Sans Serif"/>
          <w:sz w:val="16"/>
          <w:szCs w:val="16"/>
          <w:lang w:val="de-AT" w:eastAsia="nl-NL"/>
        </w:rPr>
        <w:t xml:space="preserve"> (internal) dose :                </w:t>
      </w:r>
      <w:r>
        <w:rPr>
          <w:rFonts w:ascii="MS Sans Serif" w:hAnsi="MS Sans Serif" w:cs="MS Sans Serif"/>
          <w:sz w:val="16"/>
          <w:szCs w:val="16"/>
          <w:lang w:val="de-AT" w:eastAsia="nl-NL"/>
        </w:rPr>
        <w:tab/>
        <w:t>1,91E-7</w:t>
      </w:r>
      <w:r>
        <w:rPr>
          <w:rFonts w:ascii="MS Sans Serif" w:hAnsi="MS Sans Serif" w:cs="MS Sans Serif"/>
          <w:sz w:val="16"/>
          <w:szCs w:val="16"/>
          <w:lang w:val="de-AT" w:eastAsia="nl-NL"/>
        </w:rPr>
        <w:tab/>
        <w:t xml:space="preserve"> mg/kg</w:t>
      </w:r>
    </w:p>
    <w:p w14:paraId="05B6F1B3"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chronic (internal) dose :              </w:t>
      </w:r>
      <w:r>
        <w:rPr>
          <w:rFonts w:ascii="MS Sans Serif" w:hAnsi="MS Sans Serif" w:cs="MS Sans Serif"/>
          <w:sz w:val="16"/>
          <w:szCs w:val="16"/>
          <w:lang w:val="en-US" w:eastAsia="nl-NL"/>
        </w:rPr>
        <w:tab/>
        <w:t>5,43E-8</w:t>
      </w:r>
      <w:r>
        <w:rPr>
          <w:rFonts w:ascii="MS Sans Serif" w:hAnsi="MS Sans Serif" w:cs="MS Sans Serif"/>
          <w:sz w:val="16"/>
          <w:szCs w:val="16"/>
          <w:lang w:val="en-US" w:eastAsia="nl-NL"/>
        </w:rPr>
        <w:tab/>
        <w:t xml:space="preserve"> mg/kg/day</w:t>
      </w:r>
    </w:p>
    <w:p w14:paraId="56631DD8"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37CBBB0"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 point estimates</w:t>
      </w:r>
    </w:p>
    <w:p w14:paraId="53392F12"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3CFA11A"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load :           </w:t>
      </w:r>
      <w:r>
        <w:rPr>
          <w:rFonts w:ascii="MS Sans Serif" w:hAnsi="MS Sans Serif" w:cs="MS Sans Serif"/>
          <w:sz w:val="16"/>
          <w:szCs w:val="16"/>
          <w:lang w:val="en-US" w:eastAsia="nl-NL"/>
        </w:rPr>
        <w:tab/>
        <w:t>0,00031</w:t>
      </w:r>
      <w:r>
        <w:rPr>
          <w:rFonts w:ascii="MS Sans Serif" w:hAnsi="MS Sans Serif" w:cs="MS Sans Serif"/>
          <w:sz w:val="16"/>
          <w:szCs w:val="16"/>
          <w:lang w:val="en-US" w:eastAsia="nl-NL"/>
        </w:rPr>
        <w:tab/>
        <w:t xml:space="preserve"> mg/cm2</w:t>
      </w:r>
    </w:p>
    <w:p w14:paraId="5F643AE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external dose : </w:t>
      </w:r>
      <w:r>
        <w:rPr>
          <w:rFonts w:ascii="MS Sans Serif" w:hAnsi="MS Sans Serif" w:cs="MS Sans Serif"/>
          <w:sz w:val="16"/>
          <w:szCs w:val="16"/>
          <w:lang w:val="en-US" w:eastAsia="nl-NL"/>
        </w:rPr>
        <w:tab/>
        <w:t>0,0101</w:t>
      </w:r>
      <w:r>
        <w:rPr>
          <w:rFonts w:ascii="MS Sans Serif" w:hAnsi="MS Sans Serif" w:cs="MS Sans Serif"/>
          <w:sz w:val="16"/>
          <w:szCs w:val="16"/>
          <w:lang w:val="en-US" w:eastAsia="nl-NL"/>
        </w:rPr>
        <w:tab/>
        <w:t xml:space="preserve"> mg/kg</w:t>
      </w:r>
    </w:p>
    <w:p w14:paraId="2335D085"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acute (internal) dose :     </w:t>
      </w:r>
      <w:r>
        <w:rPr>
          <w:rFonts w:ascii="MS Sans Serif" w:hAnsi="MS Sans Serif" w:cs="MS Sans Serif"/>
          <w:sz w:val="16"/>
          <w:szCs w:val="16"/>
          <w:lang w:val="en-US" w:eastAsia="nl-NL"/>
        </w:rPr>
        <w:tab/>
        <w:t>0,00756</w:t>
      </w:r>
      <w:r>
        <w:rPr>
          <w:rFonts w:ascii="MS Sans Serif" w:hAnsi="MS Sans Serif" w:cs="MS Sans Serif"/>
          <w:sz w:val="16"/>
          <w:szCs w:val="16"/>
          <w:lang w:val="en-US" w:eastAsia="nl-NL"/>
        </w:rPr>
        <w:tab/>
        <w:t xml:space="preserve"> mg/kg</w:t>
      </w:r>
    </w:p>
    <w:p w14:paraId="628D552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chronic (internal) dose :     </w:t>
      </w:r>
      <w:r>
        <w:rPr>
          <w:rFonts w:ascii="MS Sans Serif" w:hAnsi="MS Sans Serif" w:cs="MS Sans Serif"/>
          <w:sz w:val="16"/>
          <w:szCs w:val="16"/>
          <w:lang w:val="en-US" w:eastAsia="nl-NL"/>
        </w:rPr>
        <w:tab/>
        <w:t>0,00215</w:t>
      </w:r>
      <w:r>
        <w:rPr>
          <w:rFonts w:ascii="MS Sans Serif" w:hAnsi="MS Sans Serif" w:cs="MS Sans Serif"/>
          <w:sz w:val="16"/>
          <w:szCs w:val="16"/>
          <w:lang w:val="en-US" w:eastAsia="nl-NL"/>
        </w:rPr>
        <w:tab/>
        <w:t xml:space="preserve"> mg/kg/day</w:t>
      </w:r>
    </w:p>
    <w:p w14:paraId="6308CD60"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3BBC0A7"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14:paraId="34DAAC46"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440FB89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0,0101</w:t>
      </w:r>
      <w:r>
        <w:rPr>
          <w:rFonts w:ascii="MS Sans Serif" w:hAnsi="MS Sans Serif" w:cs="MS Sans Serif"/>
          <w:sz w:val="16"/>
          <w:szCs w:val="16"/>
          <w:lang w:val="en-US" w:eastAsia="nl-NL"/>
        </w:rPr>
        <w:tab/>
        <w:t xml:space="preserve"> mg/kg</w:t>
      </w:r>
    </w:p>
    <w:p w14:paraId="2A297DC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0,00756</w:t>
      </w:r>
      <w:r>
        <w:rPr>
          <w:rFonts w:ascii="MS Sans Serif" w:hAnsi="MS Sans Serif" w:cs="MS Sans Serif"/>
          <w:sz w:val="16"/>
          <w:szCs w:val="16"/>
          <w:lang w:val="en-US" w:eastAsia="nl-NL"/>
        </w:rPr>
        <w:tab/>
        <w:t xml:space="preserve"> mg/kg</w:t>
      </w:r>
    </w:p>
    <w:p w14:paraId="14CB1DFA"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0,00215</w:t>
      </w:r>
      <w:r>
        <w:rPr>
          <w:rFonts w:ascii="MS Sans Serif" w:hAnsi="MS Sans Serif" w:cs="MS Sans Serif"/>
          <w:sz w:val="16"/>
          <w:szCs w:val="16"/>
          <w:lang w:val="en-US" w:eastAsia="nl-NL"/>
        </w:rPr>
        <w:tab/>
        <w:t xml:space="preserve"> mg/kg/day</w:t>
      </w:r>
    </w:p>
    <w:p w14:paraId="4F49BBC3" w14:textId="77777777" w:rsidR="00CF59EF" w:rsidRDefault="00CF59EF">
      <w:pPr>
        <w:rPr>
          <w:rFonts w:eastAsia="Calibri"/>
          <w:b/>
          <w:caps/>
          <w:sz w:val="28"/>
          <w:szCs w:val="28"/>
          <w:lang w:val="en-US" w:eastAsia="en-US"/>
        </w:rPr>
      </w:pPr>
    </w:p>
    <w:p w14:paraId="5AB50DAB" w14:textId="77777777" w:rsidR="00CF59EF" w:rsidRDefault="00CF59EF">
      <w:pPr>
        <w:pStyle w:val="Caption"/>
        <w:rPr>
          <w:rFonts w:ascii="Verdana" w:eastAsia="Calibri" w:hAnsi="Verdana"/>
          <w:b/>
          <w:lang w:val="en-US" w:eastAsia="en-US"/>
        </w:rPr>
      </w:pPr>
    </w:p>
    <w:p w14:paraId="6EDA2D30" w14:textId="77777777" w:rsidR="00CF59EF" w:rsidRDefault="000B5D37">
      <w:pPr>
        <w:rPr>
          <w:rFonts w:eastAsia="Calibri"/>
          <w:b/>
          <w:lang w:val="en-US" w:eastAsia="en-US"/>
        </w:rPr>
      </w:pPr>
      <w:r>
        <w:rPr>
          <w:rFonts w:eastAsia="Calibri"/>
          <w:b/>
          <w:lang w:val="en-US" w:eastAsia="en-US"/>
        </w:rPr>
        <w:t>Exposure scenario 12: Oral exposure to residues of sodium benzoate on washed dinnerware - adults</w:t>
      </w:r>
    </w:p>
    <w:p w14:paraId="430482FF" w14:textId="77777777" w:rsidR="00CF59EF" w:rsidRDefault="00CF59EF">
      <w:pPr>
        <w:widowControl w:val="0"/>
        <w:jc w:val="center"/>
        <w:rPr>
          <w:rFonts w:ascii="MS Sans Serif" w:hAnsi="MS Sans Serif" w:cs="MS Sans Serif"/>
          <w:b/>
          <w:bCs/>
          <w:sz w:val="24"/>
          <w:szCs w:val="24"/>
          <w:u w:val="single"/>
        </w:rPr>
      </w:pPr>
    </w:p>
    <w:p w14:paraId="1F225485" w14:textId="77777777" w:rsidR="00CF59EF" w:rsidRDefault="000B5D37">
      <w:pPr>
        <w:widowControl w:val="0"/>
        <w:jc w:val="center"/>
        <w:rPr>
          <w:rFonts w:ascii="MS Sans Serif" w:hAnsi="MS Sans Serif" w:cs="MS Sans Serif"/>
          <w:b/>
          <w:bCs/>
          <w:sz w:val="24"/>
          <w:szCs w:val="24"/>
          <w:u w:val="single"/>
        </w:rPr>
      </w:pPr>
      <w:proofErr w:type="spellStart"/>
      <w:r>
        <w:rPr>
          <w:rFonts w:ascii="MS Sans Serif" w:hAnsi="MS Sans Serif" w:cs="MS Sans Serif"/>
          <w:b/>
          <w:bCs/>
          <w:sz w:val="24"/>
          <w:szCs w:val="24"/>
          <w:u w:val="single"/>
        </w:rPr>
        <w:t>ConsExpo</w:t>
      </w:r>
      <w:proofErr w:type="spellEnd"/>
      <w:r>
        <w:rPr>
          <w:rFonts w:ascii="MS Sans Serif" w:hAnsi="MS Sans Serif" w:cs="MS Sans Serif"/>
          <w:b/>
          <w:bCs/>
          <w:sz w:val="24"/>
          <w:szCs w:val="24"/>
          <w:u w:val="single"/>
        </w:rPr>
        <w:t xml:space="preserve"> 4.1  report</w:t>
      </w:r>
    </w:p>
    <w:p w14:paraId="03112AAB" w14:textId="77777777" w:rsidR="00CF59EF" w:rsidRDefault="00CF59EF">
      <w:pPr>
        <w:widowControl w:val="0"/>
        <w:jc w:val="center"/>
        <w:rPr>
          <w:rFonts w:ascii="MS Sans Serif" w:hAnsi="MS Sans Serif" w:cs="MS Sans Serif"/>
          <w:sz w:val="16"/>
          <w:szCs w:val="16"/>
        </w:rPr>
      </w:pPr>
    </w:p>
    <w:p w14:paraId="449E8603" w14:textId="77777777" w:rsidR="00CF59EF" w:rsidRDefault="000B5D37">
      <w:pPr>
        <w:widowControl w:val="0"/>
        <w:jc w:val="center"/>
        <w:rPr>
          <w:rFonts w:ascii="MS Sans Serif" w:hAnsi="MS Sans Serif" w:cs="MS Sans Serif"/>
          <w:sz w:val="16"/>
          <w:szCs w:val="16"/>
        </w:rPr>
      </w:pPr>
      <w:r>
        <w:rPr>
          <w:rFonts w:ascii="MS Sans Serif" w:hAnsi="MS Sans Serif" w:cs="MS Sans Serif"/>
          <w:sz w:val="16"/>
          <w:szCs w:val="16"/>
        </w:rPr>
        <w:lastRenderedPageBreak/>
        <w:t xml:space="preserve">file name: </w:t>
      </w:r>
    </w:p>
    <w:p w14:paraId="1087FB29" w14:textId="77777777" w:rsidR="00CF59EF" w:rsidRDefault="000B5D37">
      <w:pPr>
        <w:widowControl w:val="0"/>
        <w:jc w:val="center"/>
        <w:rPr>
          <w:rFonts w:ascii="MS Sans Serif" w:hAnsi="MS Sans Serif" w:cs="MS Sans Serif"/>
          <w:sz w:val="16"/>
          <w:szCs w:val="16"/>
        </w:rPr>
      </w:pPr>
      <w:r>
        <w:rPr>
          <w:rFonts w:ascii="MS Sans Serif" w:hAnsi="MS Sans Serif" w:cs="MS Sans Serif"/>
          <w:sz w:val="16"/>
          <w:szCs w:val="16"/>
        </w:rPr>
        <w:t>Report date: 27-9-2016</w:t>
      </w:r>
    </w:p>
    <w:p w14:paraId="4BBB04BF" w14:textId="77777777" w:rsidR="00CF59EF" w:rsidRDefault="00CF59EF">
      <w:pPr>
        <w:widowControl w:val="0"/>
        <w:jc w:val="center"/>
        <w:rPr>
          <w:rFonts w:ascii="MS Sans Serif" w:hAnsi="MS Sans Serif" w:cs="MS Sans Serif"/>
          <w:sz w:val="16"/>
          <w:szCs w:val="16"/>
        </w:rPr>
      </w:pPr>
    </w:p>
    <w:p w14:paraId="60B1FDB5" w14:textId="77777777" w:rsidR="00CF59EF" w:rsidRDefault="00CF59EF">
      <w:pPr>
        <w:widowControl w:val="0"/>
        <w:jc w:val="center"/>
        <w:rPr>
          <w:rFonts w:ascii="MS Sans Serif" w:hAnsi="MS Sans Serif" w:cs="MS Sans Serif"/>
          <w:sz w:val="16"/>
          <w:szCs w:val="16"/>
        </w:rPr>
      </w:pPr>
    </w:p>
    <w:p w14:paraId="275EFF4B" w14:textId="77777777" w:rsidR="00CF59EF" w:rsidRDefault="000B5D37">
      <w:pPr>
        <w:widowControl w:val="0"/>
        <w:rPr>
          <w:rFonts w:ascii="MS Sans Serif" w:hAnsi="MS Sans Serif" w:cs="MS Sans Serif"/>
          <w:b/>
          <w:bCs/>
          <w:sz w:val="16"/>
          <w:szCs w:val="16"/>
          <w:u w:val="single"/>
        </w:rPr>
      </w:pPr>
      <w:r>
        <w:rPr>
          <w:rFonts w:ascii="MS Sans Serif" w:hAnsi="MS Sans Serif" w:cs="MS Sans Serif"/>
          <w:b/>
          <w:bCs/>
          <w:sz w:val="16"/>
          <w:szCs w:val="16"/>
          <w:u w:val="single"/>
        </w:rPr>
        <w:t>Product</w:t>
      </w:r>
    </w:p>
    <w:p w14:paraId="0274A15D" w14:textId="77777777" w:rsidR="00CF59EF" w:rsidRDefault="00CF59EF">
      <w:pPr>
        <w:widowControl w:val="0"/>
        <w:tabs>
          <w:tab w:val="left" w:pos="0"/>
        </w:tabs>
        <w:ind w:left="400"/>
        <w:rPr>
          <w:rFonts w:ascii="MS Sans Serif" w:hAnsi="MS Sans Serif" w:cs="MS Sans Serif"/>
          <w:sz w:val="16"/>
          <w:szCs w:val="16"/>
        </w:rPr>
      </w:pPr>
    </w:p>
    <w:p w14:paraId="4F5F1A57" w14:textId="77777777" w:rsidR="00CF59EF" w:rsidRDefault="000B5D37">
      <w:pPr>
        <w:widowControl w:val="0"/>
        <w:tabs>
          <w:tab w:val="left" w:pos="0"/>
        </w:tabs>
        <w:ind w:left="400"/>
        <w:rPr>
          <w:rFonts w:ascii="MS Sans Serif" w:hAnsi="MS Sans Serif" w:cs="MS Sans Serif"/>
          <w:sz w:val="16"/>
          <w:szCs w:val="16"/>
        </w:rPr>
      </w:pPr>
      <w:r>
        <w:rPr>
          <w:rFonts w:ascii="MS Sans Serif" w:hAnsi="MS Sans Serif" w:cs="MS Sans Serif"/>
          <w:sz w:val="16"/>
          <w:szCs w:val="16"/>
        </w:rPr>
        <w:t>Sodium benzoate</w:t>
      </w:r>
    </w:p>
    <w:p w14:paraId="0E82663C" w14:textId="77777777" w:rsidR="00CF59EF" w:rsidRDefault="00CF59EF">
      <w:pPr>
        <w:widowControl w:val="0"/>
        <w:tabs>
          <w:tab w:val="left" w:pos="0"/>
        </w:tabs>
        <w:ind w:left="400"/>
        <w:rPr>
          <w:rFonts w:ascii="MS Sans Serif" w:hAnsi="MS Sans Serif" w:cs="MS Sans Serif"/>
          <w:sz w:val="16"/>
          <w:szCs w:val="16"/>
        </w:rPr>
      </w:pPr>
    </w:p>
    <w:p w14:paraId="3B98C21F" w14:textId="77777777" w:rsidR="00CF59EF" w:rsidRDefault="000B5D37">
      <w:pPr>
        <w:widowControl w:val="0"/>
        <w:tabs>
          <w:tab w:val="left" w:pos="0"/>
        </w:tabs>
        <w:rPr>
          <w:rFonts w:ascii="MS Sans Serif" w:hAnsi="MS Sans Serif" w:cs="MS Sans Serif"/>
          <w:b/>
          <w:bCs/>
          <w:sz w:val="16"/>
          <w:szCs w:val="16"/>
          <w:u w:val="single"/>
        </w:rPr>
      </w:pPr>
      <w:r>
        <w:rPr>
          <w:rFonts w:ascii="MS Sans Serif" w:hAnsi="MS Sans Serif" w:cs="MS Sans Serif"/>
          <w:b/>
          <w:bCs/>
          <w:sz w:val="16"/>
          <w:szCs w:val="16"/>
          <w:u w:val="single"/>
        </w:rPr>
        <w:t>Compound</w:t>
      </w:r>
    </w:p>
    <w:p w14:paraId="6E5BED2F"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57A720AE"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Compound name : </w:t>
      </w:r>
      <w:r>
        <w:rPr>
          <w:rFonts w:ascii="MS Sans Serif" w:hAnsi="MS Sans Serif" w:cs="MS Sans Serif"/>
          <w:sz w:val="16"/>
          <w:szCs w:val="16"/>
        </w:rPr>
        <w:tab/>
        <w:t xml:space="preserve"> Sodium benzoate</w:t>
      </w:r>
    </w:p>
    <w:p w14:paraId="419D8FBF"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CAS number    : </w:t>
      </w:r>
      <w:r>
        <w:rPr>
          <w:rFonts w:ascii="MS Sans Serif" w:hAnsi="MS Sans Serif" w:cs="MS Sans Serif"/>
          <w:sz w:val="16"/>
          <w:szCs w:val="16"/>
        </w:rPr>
        <w:tab/>
        <w:t xml:space="preserve"> 532-32-1</w:t>
      </w:r>
    </w:p>
    <w:p w14:paraId="54A078BD"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molecular weight              </w:t>
      </w:r>
      <w:r>
        <w:rPr>
          <w:rFonts w:ascii="MS Sans Serif" w:hAnsi="MS Sans Serif" w:cs="MS Sans Serif"/>
          <w:sz w:val="16"/>
          <w:szCs w:val="16"/>
        </w:rPr>
        <w:tab/>
        <w:t xml:space="preserve">122       </w:t>
      </w:r>
      <w:r>
        <w:rPr>
          <w:rFonts w:ascii="MS Sans Serif" w:hAnsi="MS Sans Serif" w:cs="MS Sans Serif"/>
          <w:sz w:val="16"/>
          <w:szCs w:val="16"/>
        </w:rPr>
        <w:tab/>
        <w:t xml:space="preserve">g/mol               </w:t>
      </w:r>
    </w:p>
    <w:p w14:paraId="2B44C925"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vapour pressure               </w:t>
      </w:r>
      <w:r>
        <w:rPr>
          <w:rFonts w:ascii="MS Sans Serif" w:hAnsi="MS Sans Serif" w:cs="MS Sans Serif"/>
          <w:sz w:val="16"/>
          <w:szCs w:val="16"/>
        </w:rPr>
        <w:tab/>
        <w:t xml:space="preserve">0,001     </w:t>
      </w:r>
      <w:r>
        <w:rPr>
          <w:rFonts w:ascii="MS Sans Serif" w:hAnsi="MS Sans Serif" w:cs="MS Sans Serif"/>
          <w:sz w:val="16"/>
          <w:szCs w:val="16"/>
        </w:rPr>
        <w:tab/>
        <w:t xml:space="preserve">Pascal              </w:t>
      </w:r>
    </w:p>
    <w:p w14:paraId="08E56C28"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KOW                           </w:t>
      </w:r>
      <w:r>
        <w:rPr>
          <w:rFonts w:ascii="MS Sans Serif" w:hAnsi="MS Sans Serif" w:cs="MS Sans Serif"/>
          <w:sz w:val="16"/>
          <w:szCs w:val="16"/>
        </w:rPr>
        <w:tab/>
        <w:t xml:space="preserve">-2,27     </w:t>
      </w:r>
      <w:r>
        <w:rPr>
          <w:rFonts w:ascii="MS Sans Serif" w:hAnsi="MS Sans Serif" w:cs="MS Sans Serif"/>
          <w:sz w:val="16"/>
          <w:szCs w:val="16"/>
        </w:rPr>
        <w:tab/>
        <w:t xml:space="preserve">10Log               </w:t>
      </w:r>
    </w:p>
    <w:p w14:paraId="6472FA98" w14:textId="77777777"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General Exposure Data</w:t>
      </w:r>
    </w:p>
    <w:p w14:paraId="2A047EAC"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097C6414"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exposure frequency            </w:t>
      </w:r>
      <w:r>
        <w:rPr>
          <w:rFonts w:ascii="MS Sans Serif" w:hAnsi="MS Sans Serif" w:cs="MS Sans Serif"/>
          <w:sz w:val="16"/>
          <w:szCs w:val="16"/>
        </w:rPr>
        <w:tab/>
        <w:t xml:space="preserve">365       </w:t>
      </w:r>
      <w:r>
        <w:rPr>
          <w:rFonts w:ascii="MS Sans Serif" w:hAnsi="MS Sans Serif" w:cs="MS Sans Serif"/>
          <w:sz w:val="16"/>
          <w:szCs w:val="16"/>
        </w:rPr>
        <w:tab/>
        <w:t xml:space="preserve">1/year              </w:t>
      </w:r>
    </w:p>
    <w:p w14:paraId="041813B5"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body weight                   </w:t>
      </w:r>
      <w:r>
        <w:rPr>
          <w:rFonts w:ascii="MS Sans Serif" w:hAnsi="MS Sans Serif" w:cs="MS Sans Serif"/>
          <w:sz w:val="16"/>
          <w:szCs w:val="16"/>
        </w:rPr>
        <w:tab/>
        <w:t xml:space="preserve">60        </w:t>
      </w:r>
      <w:r>
        <w:rPr>
          <w:rFonts w:ascii="MS Sans Serif" w:hAnsi="MS Sans Serif" w:cs="MS Sans Serif"/>
          <w:sz w:val="16"/>
          <w:szCs w:val="16"/>
        </w:rPr>
        <w:tab/>
        <w:t xml:space="preserve">kilogram            </w:t>
      </w:r>
    </w:p>
    <w:p w14:paraId="2AB8C253"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0D03AD24" w14:textId="77777777"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Oral model: Oral exposure to product : direct intake</w:t>
      </w:r>
    </w:p>
    <w:p w14:paraId="61160063"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2419CCA7"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weight fraction compound      </w:t>
      </w:r>
      <w:r>
        <w:rPr>
          <w:rFonts w:ascii="MS Sans Serif" w:hAnsi="MS Sans Serif" w:cs="MS Sans Serif"/>
          <w:sz w:val="16"/>
          <w:szCs w:val="16"/>
        </w:rPr>
        <w:tab/>
        <w:t xml:space="preserve">2,5       </w:t>
      </w:r>
      <w:r>
        <w:rPr>
          <w:rFonts w:ascii="MS Sans Serif" w:hAnsi="MS Sans Serif" w:cs="MS Sans Serif"/>
          <w:sz w:val="16"/>
          <w:szCs w:val="16"/>
        </w:rPr>
        <w:tab/>
        <w:t xml:space="preserve">%                   </w:t>
      </w:r>
    </w:p>
    <w:p w14:paraId="0CCCF1B9"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amount ingested               </w:t>
      </w:r>
      <w:r>
        <w:rPr>
          <w:rFonts w:ascii="MS Sans Serif" w:hAnsi="MS Sans Serif" w:cs="MS Sans Serif"/>
          <w:sz w:val="16"/>
          <w:szCs w:val="16"/>
        </w:rPr>
        <w:tab/>
        <w:t xml:space="preserve">0,00042   </w:t>
      </w:r>
      <w:r>
        <w:rPr>
          <w:rFonts w:ascii="MS Sans Serif" w:hAnsi="MS Sans Serif" w:cs="MS Sans Serif"/>
          <w:sz w:val="16"/>
          <w:szCs w:val="16"/>
        </w:rPr>
        <w:tab/>
        <w:t xml:space="preserve">gram                </w:t>
      </w:r>
    </w:p>
    <w:p w14:paraId="2D61EB86"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209538B1" w14:textId="77777777"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Uptake model: Fraction</w:t>
      </w:r>
    </w:p>
    <w:p w14:paraId="17AC9CF2"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540D9DB2"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uptake fraction               </w:t>
      </w:r>
      <w:r>
        <w:rPr>
          <w:rFonts w:ascii="MS Sans Serif" w:hAnsi="MS Sans Serif" w:cs="MS Sans Serif"/>
          <w:sz w:val="16"/>
          <w:szCs w:val="16"/>
        </w:rPr>
        <w:tab/>
        <w:t xml:space="preserve">1         </w:t>
      </w:r>
      <w:r>
        <w:rPr>
          <w:rFonts w:ascii="MS Sans Serif" w:hAnsi="MS Sans Serif" w:cs="MS Sans Serif"/>
          <w:sz w:val="16"/>
          <w:szCs w:val="16"/>
        </w:rPr>
        <w:tab/>
        <w:t xml:space="preserve">fraction            </w:t>
      </w:r>
    </w:p>
    <w:p w14:paraId="29678ED5"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04DF3AB4" w14:textId="77777777" w:rsidR="00CF59EF" w:rsidRDefault="000B5D37">
      <w:pPr>
        <w:widowControl w:val="0"/>
        <w:tabs>
          <w:tab w:val="left" w:pos="4200"/>
          <w:tab w:val="left" w:pos="6400"/>
          <w:tab w:val="left" w:pos="7800"/>
        </w:tabs>
        <w:jc w:val="center"/>
        <w:rPr>
          <w:rFonts w:ascii="MS Sans Serif" w:hAnsi="MS Sans Serif" w:cs="MS Sans Serif"/>
          <w:b/>
          <w:bCs/>
          <w:sz w:val="24"/>
          <w:szCs w:val="24"/>
          <w:u w:val="single"/>
        </w:rPr>
      </w:pPr>
      <w:r>
        <w:rPr>
          <w:rFonts w:ascii="MS Sans Serif" w:hAnsi="MS Sans Serif" w:cs="MS Sans Serif"/>
          <w:b/>
          <w:bCs/>
          <w:sz w:val="24"/>
          <w:szCs w:val="24"/>
          <w:u w:val="single"/>
        </w:rPr>
        <w:t>Output</w:t>
      </w:r>
    </w:p>
    <w:p w14:paraId="02DBBD26" w14:textId="77777777" w:rsidR="00CF59EF" w:rsidRDefault="00CF59EF">
      <w:pPr>
        <w:widowControl w:val="0"/>
        <w:tabs>
          <w:tab w:val="left" w:pos="4200"/>
          <w:tab w:val="left" w:pos="6400"/>
          <w:tab w:val="left" w:pos="7800"/>
        </w:tabs>
        <w:jc w:val="center"/>
        <w:rPr>
          <w:rFonts w:ascii="MS Sans Serif" w:hAnsi="MS Sans Serif" w:cs="MS Sans Serif"/>
          <w:sz w:val="16"/>
          <w:szCs w:val="16"/>
        </w:rPr>
      </w:pPr>
    </w:p>
    <w:p w14:paraId="42F3FF4B" w14:textId="77777777" w:rsidR="00CF59EF" w:rsidRDefault="00CF59EF">
      <w:pPr>
        <w:widowControl w:val="0"/>
        <w:tabs>
          <w:tab w:val="left" w:pos="4200"/>
          <w:tab w:val="left" w:pos="6400"/>
          <w:tab w:val="left" w:pos="7800"/>
        </w:tabs>
        <w:jc w:val="center"/>
        <w:rPr>
          <w:rFonts w:ascii="MS Sans Serif" w:hAnsi="MS Sans Serif" w:cs="MS Sans Serif"/>
          <w:sz w:val="16"/>
          <w:szCs w:val="16"/>
        </w:rPr>
      </w:pPr>
    </w:p>
    <w:p w14:paraId="2595CBB3" w14:textId="77777777"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Oral : point estimates</w:t>
      </w:r>
    </w:p>
    <w:p w14:paraId="7EB44846"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654592C0"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external dose :        </w:t>
      </w:r>
      <w:r>
        <w:rPr>
          <w:rFonts w:ascii="MS Sans Serif" w:hAnsi="MS Sans Serif" w:cs="MS Sans Serif"/>
          <w:sz w:val="16"/>
          <w:szCs w:val="16"/>
        </w:rPr>
        <w:tab/>
        <w:t>0,000175</w:t>
      </w:r>
      <w:r>
        <w:rPr>
          <w:rFonts w:ascii="MS Sans Serif" w:hAnsi="MS Sans Serif" w:cs="MS Sans Serif"/>
          <w:sz w:val="16"/>
          <w:szCs w:val="16"/>
        </w:rPr>
        <w:tab/>
        <w:t xml:space="preserve"> mg/kg</w:t>
      </w:r>
    </w:p>
    <w:p w14:paraId="391BAA30"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acute (internal) dose :            </w:t>
      </w:r>
      <w:r>
        <w:rPr>
          <w:rFonts w:ascii="MS Sans Serif" w:hAnsi="MS Sans Serif" w:cs="MS Sans Serif"/>
          <w:sz w:val="16"/>
          <w:szCs w:val="16"/>
        </w:rPr>
        <w:tab/>
        <w:t>0,000175</w:t>
      </w:r>
      <w:r>
        <w:rPr>
          <w:rFonts w:ascii="MS Sans Serif" w:hAnsi="MS Sans Serif" w:cs="MS Sans Serif"/>
          <w:sz w:val="16"/>
          <w:szCs w:val="16"/>
        </w:rPr>
        <w:tab/>
        <w:t xml:space="preserve"> mg/kg</w:t>
      </w:r>
    </w:p>
    <w:p w14:paraId="755CD67D"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chronic (internal) dose : </w:t>
      </w:r>
      <w:r>
        <w:rPr>
          <w:rFonts w:ascii="MS Sans Serif" w:hAnsi="MS Sans Serif" w:cs="MS Sans Serif"/>
          <w:sz w:val="16"/>
          <w:szCs w:val="16"/>
        </w:rPr>
        <w:tab/>
        <w:t>0,000175</w:t>
      </w:r>
      <w:r>
        <w:rPr>
          <w:rFonts w:ascii="MS Sans Serif" w:hAnsi="MS Sans Serif" w:cs="MS Sans Serif"/>
          <w:sz w:val="16"/>
          <w:szCs w:val="16"/>
        </w:rPr>
        <w:tab/>
        <w:t xml:space="preserve"> mg/kg/day</w:t>
      </w:r>
    </w:p>
    <w:p w14:paraId="059D7E90"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060D0540" w14:textId="77777777"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Integrated (point estimates)</w:t>
      </w:r>
    </w:p>
    <w:p w14:paraId="3C8F1ECC"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599D5AF0"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external dose:  </w:t>
      </w:r>
      <w:r>
        <w:rPr>
          <w:rFonts w:ascii="MS Sans Serif" w:hAnsi="MS Sans Serif" w:cs="MS Sans Serif"/>
          <w:sz w:val="16"/>
          <w:szCs w:val="16"/>
        </w:rPr>
        <w:tab/>
        <w:t>0,000175</w:t>
      </w:r>
      <w:r>
        <w:rPr>
          <w:rFonts w:ascii="MS Sans Serif" w:hAnsi="MS Sans Serif" w:cs="MS Sans Serif"/>
          <w:sz w:val="16"/>
          <w:szCs w:val="16"/>
        </w:rPr>
        <w:tab/>
        <w:t xml:space="preserve"> mg/kg</w:t>
      </w:r>
    </w:p>
    <w:p w14:paraId="04B6996F"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acute dose  (internal):  </w:t>
      </w:r>
      <w:r>
        <w:rPr>
          <w:rFonts w:ascii="MS Sans Serif" w:hAnsi="MS Sans Serif" w:cs="MS Sans Serif"/>
          <w:sz w:val="16"/>
          <w:szCs w:val="16"/>
        </w:rPr>
        <w:tab/>
        <w:t>0,000175</w:t>
      </w:r>
      <w:r>
        <w:rPr>
          <w:rFonts w:ascii="MS Sans Serif" w:hAnsi="MS Sans Serif" w:cs="MS Sans Serif"/>
          <w:sz w:val="16"/>
          <w:szCs w:val="16"/>
        </w:rPr>
        <w:tab/>
        <w:t xml:space="preserve"> mg/kg</w:t>
      </w:r>
    </w:p>
    <w:p w14:paraId="6C28EE8B"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chronic dose  (internal):  </w:t>
      </w:r>
      <w:r>
        <w:rPr>
          <w:rFonts w:ascii="MS Sans Serif" w:hAnsi="MS Sans Serif" w:cs="MS Sans Serif"/>
          <w:sz w:val="16"/>
          <w:szCs w:val="16"/>
        </w:rPr>
        <w:tab/>
        <w:t>0,000175</w:t>
      </w:r>
      <w:r>
        <w:rPr>
          <w:rFonts w:ascii="MS Sans Serif" w:hAnsi="MS Sans Serif" w:cs="MS Sans Serif"/>
          <w:sz w:val="16"/>
          <w:szCs w:val="16"/>
        </w:rPr>
        <w:tab/>
        <w:t xml:space="preserve"> mg/kg/day</w:t>
      </w:r>
    </w:p>
    <w:p w14:paraId="795445AD"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3101EF5E"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3248A3D2" w14:textId="77777777" w:rsidR="00CF59EF" w:rsidRDefault="000B5D37">
      <w:pPr>
        <w:widowControl w:val="0"/>
        <w:tabs>
          <w:tab w:val="left" w:pos="4200"/>
          <w:tab w:val="left" w:pos="6400"/>
          <w:tab w:val="left" w:pos="7800"/>
        </w:tabs>
        <w:ind w:left="400"/>
        <w:rPr>
          <w:rFonts w:ascii="MS Sans Serif" w:hAnsi="MS Sans Serif" w:cs="MS Sans Serif"/>
          <w:sz w:val="16"/>
          <w:szCs w:val="16"/>
        </w:rPr>
      </w:pPr>
      <w:r>
        <w:rPr>
          <w:rFonts w:eastAsia="Calibri"/>
          <w:b/>
          <w:lang w:val="en-US" w:eastAsia="en-US"/>
        </w:rPr>
        <w:t>Exposure scenario 13: Oral exposure to residues of sodium benzoate on washed dinnerware - toddlers</w:t>
      </w:r>
    </w:p>
    <w:p w14:paraId="27C16B62"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42415C01" w14:textId="77777777" w:rsidR="00CF59EF" w:rsidRDefault="00CF59EF">
      <w:pPr>
        <w:widowControl w:val="0"/>
        <w:tabs>
          <w:tab w:val="left" w:pos="4200"/>
          <w:tab w:val="left" w:pos="6400"/>
          <w:tab w:val="left" w:pos="7800"/>
        </w:tabs>
        <w:ind w:left="400"/>
        <w:rPr>
          <w:rFonts w:ascii="MS Sans Serif" w:hAnsi="MS Sans Serif" w:cs="MS Sans Serif"/>
          <w:sz w:val="16"/>
          <w:szCs w:val="16"/>
        </w:rPr>
      </w:pPr>
    </w:p>
    <w:p w14:paraId="60735E30" w14:textId="77777777"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14:paraId="44F150BF" w14:textId="77777777" w:rsidR="00CF59EF" w:rsidRDefault="00CF59EF">
      <w:pPr>
        <w:jc w:val="center"/>
        <w:rPr>
          <w:rFonts w:ascii="MS Sans Serif" w:hAnsi="MS Sans Serif" w:cs="MS Sans Serif"/>
          <w:sz w:val="16"/>
          <w:szCs w:val="16"/>
          <w:lang w:val="en-US" w:eastAsia="nl-NL"/>
        </w:rPr>
      </w:pPr>
    </w:p>
    <w:p w14:paraId="78B38C25" w14:textId="77777777" w:rsidR="00CF59EF" w:rsidRDefault="00CF59EF">
      <w:pPr>
        <w:jc w:val="center"/>
        <w:rPr>
          <w:rFonts w:ascii="MS Sans Serif" w:hAnsi="MS Sans Serif" w:cs="MS Sans Serif"/>
          <w:sz w:val="16"/>
          <w:szCs w:val="16"/>
          <w:lang w:val="en-US" w:eastAsia="nl-NL"/>
        </w:rPr>
      </w:pPr>
    </w:p>
    <w:p w14:paraId="1B1462B3" w14:textId="77777777" w:rsidR="00CF59EF" w:rsidRDefault="00CF59EF">
      <w:pPr>
        <w:jc w:val="center"/>
        <w:rPr>
          <w:rFonts w:ascii="MS Sans Serif" w:hAnsi="MS Sans Serif" w:cs="MS Sans Serif"/>
          <w:sz w:val="16"/>
          <w:szCs w:val="16"/>
          <w:lang w:val="en-US" w:eastAsia="nl-NL"/>
        </w:rPr>
      </w:pPr>
    </w:p>
    <w:p w14:paraId="781B3F38" w14:textId="77777777"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14:paraId="48555183" w14:textId="77777777" w:rsidR="00CF59EF" w:rsidRDefault="00CF59EF">
      <w:pPr>
        <w:tabs>
          <w:tab w:val="left" w:pos="0"/>
        </w:tabs>
        <w:ind w:left="400"/>
        <w:rPr>
          <w:rFonts w:ascii="MS Sans Serif" w:hAnsi="MS Sans Serif" w:cs="MS Sans Serif"/>
          <w:sz w:val="16"/>
          <w:szCs w:val="16"/>
          <w:lang w:val="en-US" w:eastAsia="nl-NL"/>
        </w:rPr>
      </w:pPr>
    </w:p>
    <w:p w14:paraId="0C24E656" w14:textId="77777777"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14:paraId="7EA51940" w14:textId="77777777" w:rsidR="00CF59EF" w:rsidRDefault="00CF59EF">
      <w:pPr>
        <w:tabs>
          <w:tab w:val="left" w:pos="0"/>
        </w:tabs>
        <w:ind w:left="400"/>
        <w:rPr>
          <w:rFonts w:ascii="MS Sans Serif" w:hAnsi="MS Sans Serif" w:cs="MS Sans Serif"/>
          <w:sz w:val="16"/>
          <w:szCs w:val="16"/>
          <w:lang w:val="en-US" w:eastAsia="nl-NL"/>
        </w:rPr>
      </w:pPr>
    </w:p>
    <w:p w14:paraId="1EC6AC4E" w14:textId="77777777"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14:paraId="46CCF025"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F25A40B"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14:paraId="2213035A"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14:paraId="4E7466DD"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14:paraId="629B1DF3"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14:paraId="73D8E22B"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14:paraId="6269853A"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14:paraId="0528FAC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1029960A"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365       </w:t>
      </w:r>
      <w:r>
        <w:rPr>
          <w:rFonts w:ascii="MS Sans Serif" w:hAnsi="MS Sans Serif" w:cs="MS Sans Serif"/>
          <w:sz w:val="16"/>
          <w:szCs w:val="16"/>
          <w:lang w:val="en-US" w:eastAsia="nl-NL"/>
        </w:rPr>
        <w:tab/>
        <w:t xml:space="preserve">1/year              </w:t>
      </w:r>
    </w:p>
    <w:p w14:paraId="266DA6C5"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10        </w:t>
      </w:r>
      <w:r>
        <w:rPr>
          <w:rFonts w:ascii="MS Sans Serif" w:hAnsi="MS Sans Serif" w:cs="MS Sans Serif"/>
          <w:sz w:val="16"/>
          <w:szCs w:val="16"/>
          <w:lang w:val="en-US" w:eastAsia="nl-NL"/>
        </w:rPr>
        <w:tab/>
        <w:t xml:space="preserve">kilogram            </w:t>
      </w:r>
    </w:p>
    <w:p w14:paraId="57A3A2B1"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3BA532F3"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model: Oral exposure to product : direct intake</w:t>
      </w:r>
    </w:p>
    <w:p w14:paraId="4BA0552A"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0F011A2"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2,5       </w:t>
      </w:r>
      <w:r>
        <w:rPr>
          <w:rFonts w:ascii="MS Sans Serif" w:hAnsi="MS Sans Serif" w:cs="MS Sans Serif"/>
          <w:sz w:val="16"/>
          <w:szCs w:val="16"/>
          <w:lang w:val="en-US" w:eastAsia="nl-NL"/>
        </w:rPr>
        <w:tab/>
        <w:t xml:space="preserve">%                   </w:t>
      </w:r>
    </w:p>
    <w:p w14:paraId="74E16AD6"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amount ingested               </w:t>
      </w:r>
      <w:r>
        <w:rPr>
          <w:rFonts w:ascii="MS Sans Serif" w:hAnsi="MS Sans Serif" w:cs="MS Sans Serif"/>
          <w:sz w:val="16"/>
          <w:szCs w:val="16"/>
          <w:lang w:val="en-US" w:eastAsia="nl-NL"/>
        </w:rPr>
        <w:tab/>
        <w:t xml:space="preserve">0,00042   </w:t>
      </w:r>
      <w:r>
        <w:rPr>
          <w:rFonts w:ascii="MS Sans Serif" w:hAnsi="MS Sans Serif" w:cs="MS Sans Serif"/>
          <w:sz w:val="16"/>
          <w:szCs w:val="16"/>
          <w:lang w:val="en-US" w:eastAsia="nl-NL"/>
        </w:rPr>
        <w:tab/>
        <w:t xml:space="preserve">gram                </w:t>
      </w:r>
    </w:p>
    <w:p w14:paraId="06CC7EAB"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6E242163"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14:paraId="7B21C6CD"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9D49FC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         </w:t>
      </w:r>
      <w:r>
        <w:rPr>
          <w:rFonts w:ascii="MS Sans Serif" w:hAnsi="MS Sans Serif" w:cs="MS Sans Serif"/>
          <w:sz w:val="16"/>
          <w:szCs w:val="16"/>
          <w:lang w:val="en-US" w:eastAsia="nl-NL"/>
        </w:rPr>
        <w:tab/>
        <w:t xml:space="preserve">fraction            </w:t>
      </w:r>
    </w:p>
    <w:p w14:paraId="4D02987E"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77A0F5A2" w14:textId="77777777"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14:paraId="74FC3C36"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0B9EE745"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6A1AFB16"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 point estimates</w:t>
      </w:r>
    </w:p>
    <w:p w14:paraId="281F5D9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65691EB"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external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14:paraId="5228CE52"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acute (internal)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14:paraId="027FF37D"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chronic (internal)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mg/kg/day</w:t>
      </w:r>
    </w:p>
    <w:p w14:paraId="01ACB1C5"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592C7E40"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14:paraId="1AF44A1E"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28CC302D"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14:paraId="3C60E89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14:paraId="6CC6E1AF" w14:textId="77777777" w:rsidR="00CF59EF" w:rsidRDefault="000B5D37">
      <w:pPr>
        <w:widowControl w:val="0"/>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mg/kg/day</w:t>
      </w:r>
    </w:p>
    <w:p w14:paraId="24CCDCB4" w14:textId="77777777" w:rsidR="00CF59EF" w:rsidRDefault="00CF59EF">
      <w:pPr>
        <w:rPr>
          <w:rFonts w:eastAsia="Calibri"/>
          <w:b/>
          <w:lang w:val="en-US" w:eastAsia="en-US"/>
        </w:rPr>
      </w:pPr>
    </w:p>
    <w:p w14:paraId="623BAF0B" w14:textId="77777777" w:rsidR="00CF59EF" w:rsidRDefault="000B5D37">
      <w:pPr>
        <w:rPr>
          <w:rFonts w:eastAsia="Calibri"/>
          <w:b/>
          <w:lang w:val="en-US" w:eastAsia="en-US"/>
        </w:rPr>
      </w:pPr>
      <w:r>
        <w:rPr>
          <w:rFonts w:eastAsia="Calibri"/>
          <w:b/>
          <w:lang w:val="en-US" w:eastAsia="en-US"/>
        </w:rPr>
        <w:t>Exposure scenario 14: Oral exposure to residues of sodium benzoate due to transfer into food from cleaned surfaces</w:t>
      </w:r>
    </w:p>
    <w:p w14:paraId="26B7280B" w14:textId="77777777" w:rsidR="00CF59EF" w:rsidRDefault="00CF59EF">
      <w:pPr>
        <w:rPr>
          <w:rFonts w:eastAsia="Calibri"/>
          <w:b/>
          <w:caps/>
          <w:sz w:val="28"/>
          <w:szCs w:val="28"/>
          <w:lang w:val="en-US" w:eastAsia="en-US"/>
        </w:rPr>
      </w:pPr>
    </w:p>
    <w:p w14:paraId="5B87E8D0" w14:textId="77777777"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14:paraId="07FB63F5" w14:textId="77777777" w:rsidR="00CF59EF" w:rsidRDefault="00CF59EF">
      <w:pPr>
        <w:jc w:val="center"/>
        <w:rPr>
          <w:rFonts w:ascii="MS Sans Serif" w:hAnsi="MS Sans Serif" w:cs="MS Sans Serif"/>
          <w:sz w:val="16"/>
          <w:szCs w:val="16"/>
          <w:lang w:val="en-US" w:eastAsia="nl-NL"/>
        </w:rPr>
      </w:pPr>
    </w:p>
    <w:p w14:paraId="52367329" w14:textId="77777777"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file name: </w:t>
      </w:r>
    </w:p>
    <w:p w14:paraId="0DECDED7" w14:textId="77777777"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17-10-2016</w:t>
      </w:r>
    </w:p>
    <w:p w14:paraId="532D83A5" w14:textId="77777777" w:rsidR="00CF59EF" w:rsidRDefault="00CF59EF">
      <w:pPr>
        <w:jc w:val="center"/>
        <w:rPr>
          <w:rFonts w:ascii="MS Sans Serif" w:hAnsi="MS Sans Serif" w:cs="MS Sans Serif"/>
          <w:sz w:val="16"/>
          <w:szCs w:val="16"/>
          <w:lang w:val="en-US" w:eastAsia="nl-NL"/>
        </w:rPr>
      </w:pPr>
    </w:p>
    <w:p w14:paraId="14202ADC" w14:textId="77777777" w:rsidR="00CF59EF" w:rsidRDefault="00CF59EF">
      <w:pPr>
        <w:jc w:val="center"/>
        <w:rPr>
          <w:rFonts w:ascii="MS Sans Serif" w:hAnsi="MS Sans Serif" w:cs="MS Sans Serif"/>
          <w:sz w:val="16"/>
          <w:szCs w:val="16"/>
          <w:lang w:val="en-US" w:eastAsia="nl-NL"/>
        </w:rPr>
      </w:pPr>
    </w:p>
    <w:p w14:paraId="3118EC33" w14:textId="77777777"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14:paraId="242A35CC" w14:textId="77777777" w:rsidR="00CF59EF" w:rsidRDefault="00CF59EF">
      <w:pPr>
        <w:tabs>
          <w:tab w:val="left" w:pos="0"/>
        </w:tabs>
        <w:ind w:left="400"/>
        <w:rPr>
          <w:rFonts w:ascii="MS Sans Serif" w:hAnsi="MS Sans Serif" w:cs="MS Sans Serif"/>
          <w:sz w:val="16"/>
          <w:szCs w:val="16"/>
          <w:lang w:val="en-US" w:eastAsia="nl-NL"/>
        </w:rPr>
      </w:pPr>
    </w:p>
    <w:p w14:paraId="025EA1B7" w14:textId="77777777" w:rsidR="00CF59EF" w:rsidRDefault="00CF59EF">
      <w:pPr>
        <w:tabs>
          <w:tab w:val="left" w:pos="0"/>
        </w:tabs>
        <w:ind w:left="400"/>
        <w:rPr>
          <w:rFonts w:ascii="MS Sans Serif" w:hAnsi="MS Sans Serif" w:cs="MS Sans Serif"/>
          <w:sz w:val="16"/>
          <w:szCs w:val="16"/>
          <w:lang w:val="en-US" w:eastAsia="nl-NL"/>
        </w:rPr>
      </w:pPr>
    </w:p>
    <w:p w14:paraId="036E8B5A" w14:textId="77777777" w:rsidR="00CF59EF" w:rsidRDefault="00CF59EF">
      <w:pPr>
        <w:tabs>
          <w:tab w:val="left" w:pos="0"/>
        </w:tabs>
        <w:ind w:left="400"/>
        <w:rPr>
          <w:rFonts w:ascii="MS Sans Serif" w:hAnsi="MS Sans Serif" w:cs="MS Sans Serif"/>
          <w:sz w:val="16"/>
          <w:szCs w:val="16"/>
          <w:lang w:val="en-US" w:eastAsia="nl-NL"/>
        </w:rPr>
      </w:pPr>
    </w:p>
    <w:p w14:paraId="42E4B312" w14:textId="77777777"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14:paraId="5AB68CEC"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28493106"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14:paraId="1AEA6D4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14:paraId="2E6E0153"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14:paraId="4D359528"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14:paraId="1BA80EBA"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14:paraId="1949BE54"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14:paraId="3D175E4E"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44899C3E"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365       </w:t>
      </w:r>
      <w:r>
        <w:rPr>
          <w:rFonts w:ascii="MS Sans Serif" w:hAnsi="MS Sans Serif" w:cs="MS Sans Serif"/>
          <w:sz w:val="16"/>
          <w:szCs w:val="16"/>
          <w:lang w:val="en-US" w:eastAsia="nl-NL"/>
        </w:rPr>
        <w:tab/>
        <w:t xml:space="preserve">1/year              </w:t>
      </w:r>
    </w:p>
    <w:p w14:paraId="6E3BE26B"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14:paraId="0A6A124B"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224C7E9F"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model: Oral exposure to product : direct intake</w:t>
      </w:r>
    </w:p>
    <w:p w14:paraId="6BA25627"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4DCFFF71"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2,5       </w:t>
      </w:r>
      <w:r>
        <w:rPr>
          <w:rFonts w:ascii="MS Sans Serif" w:hAnsi="MS Sans Serif" w:cs="MS Sans Serif"/>
          <w:sz w:val="16"/>
          <w:szCs w:val="16"/>
          <w:lang w:val="en-US" w:eastAsia="nl-NL"/>
        </w:rPr>
        <w:tab/>
        <w:t xml:space="preserve">%                   </w:t>
      </w:r>
    </w:p>
    <w:p w14:paraId="3F8773D5"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amount ingested               </w:t>
      </w:r>
      <w:r>
        <w:rPr>
          <w:rFonts w:ascii="MS Sans Serif" w:hAnsi="MS Sans Serif" w:cs="MS Sans Serif"/>
          <w:sz w:val="16"/>
          <w:szCs w:val="16"/>
          <w:lang w:val="en-US" w:eastAsia="nl-NL"/>
        </w:rPr>
        <w:tab/>
        <w:t xml:space="preserve">11,9      </w:t>
      </w:r>
      <w:r>
        <w:rPr>
          <w:rFonts w:ascii="MS Sans Serif" w:hAnsi="MS Sans Serif" w:cs="MS Sans Serif"/>
          <w:sz w:val="16"/>
          <w:szCs w:val="16"/>
          <w:lang w:val="en-US" w:eastAsia="nl-NL"/>
        </w:rPr>
        <w:tab/>
        <w:t xml:space="preserve">milligram           </w:t>
      </w:r>
    </w:p>
    <w:p w14:paraId="4A738DCB"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4E136F4D"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14:paraId="5AA1AC8C"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7654CF5"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100       </w:t>
      </w:r>
      <w:r>
        <w:rPr>
          <w:rFonts w:ascii="MS Sans Serif" w:hAnsi="MS Sans Serif" w:cs="MS Sans Serif"/>
          <w:sz w:val="16"/>
          <w:szCs w:val="16"/>
          <w:lang w:val="en-US" w:eastAsia="nl-NL"/>
        </w:rPr>
        <w:tab/>
        <w:t xml:space="preserve">%                   </w:t>
      </w:r>
    </w:p>
    <w:p w14:paraId="5445FB2A"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1BC161E3" w14:textId="77777777"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14:paraId="64D4FCF5"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59F92562" w14:textId="77777777" w:rsidR="00CF59EF" w:rsidRDefault="00CF59EF">
      <w:pPr>
        <w:tabs>
          <w:tab w:val="left" w:pos="4200"/>
          <w:tab w:val="left" w:pos="6400"/>
          <w:tab w:val="left" w:pos="7800"/>
        </w:tabs>
        <w:jc w:val="center"/>
        <w:rPr>
          <w:rFonts w:ascii="MS Sans Serif" w:hAnsi="MS Sans Serif" w:cs="MS Sans Serif"/>
          <w:sz w:val="16"/>
          <w:szCs w:val="16"/>
          <w:lang w:val="en-US" w:eastAsia="nl-NL"/>
        </w:rPr>
      </w:pPr>
    </w:p>
    <w:p w14:paraId="461C0D66"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 point estimates</w:t>
      </w:r>
    </w:p>
    <w:p w14:paraId="3D3AD201"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149742F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external dose :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14:paraId="09EFAB1C"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acute (internal) dose :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14:paraId="4A84144F"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chronic (internal) dose : </w:t>
      </w:r>
      <w:r>
        <w:rPr>
          <w:rFonts w:ascii="MS Sans Serif" w:hAnsi="MS Sans Serif" w:cs="MS Sans Serif"/>
          <w:sz w:val="16"/>
          <w:szCs w:val="16"/>
          <w:lang w:val="en-US" w:eastAsia="nl-NL"/>
        </w:rPr>
        <w:tab/>
        <w:t>0,00493</w:t>
      </w:r>
      <w:r>
        <w:rPr>
          <w:rFonts w:ascii="MS Sans Serif" w:hAnsi="MS Sans Serif" w:cs="MS Sans Serif"/>
          <w:sz w:val="16"/>
          <w:szCs w:val="16"/>
          <w:lang w:val="en-US" w:eastAsia="nl-NL"/>
        </w:rPr>
        <w:tab/>
        <w:t xml:space="preserve"> mg/kg/day</w:t>
      </w:r>
    </w:p>
    <w:p w14:paraId="480BEAF2"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0C41345D" w14:textId="77777777"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14:paraId="3C827D39" w14:textId="77777777" w:rsidR="00CF59EF" w:rsidRDefault="00CF59EF">
      <w:pPr>
        <w:tabs>
          <w:tab w:val="left" w:pos="4200"/>
          <w:tab w:val="left" w:pos="6400"/>
          <w:tab w:val="left" w:pos="7800"/>
        </w:tabs>
        <w:ind w:left="400"/>
        <w:rPr>
          <w:rFonts w:ascii="MS Sans Serif" w:hAnsi="MS Sans Serif" w:cs="MS Sans Serif"/>
          <w:sz w:val="16"/>
          <w:szCs w:val="16"/>
          <w:lang w:val="en-US" w:eastAsia="nl-NL"/>
        </w:rPr>
      </w:pPr>
    </w:p>
    <w:p w14:paraId="750AB857"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14:paraId="374ECA22"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lastRenderedPageBreak/>
        <w:t xml:space="preserve">total acute dose  (internal):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14:paraId="64AD3CD0" w14:textId="77777777"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0,00493</w:t>
      </w:r>
      <w:r>
        <w:rPr>
          <w:rFonts w:ascii="MS Sans Serif" w:hAnsi="MS Sans Serif" w:cs="MS Sans Serif"/>
          <w:sz w:val="16"/>
          <w:szCs w:val="16"/>
          <w:lang w:val="en-US" w:eastAsia="nl-NL"/>
        </w:rPr>
        <w:tab/>
        <w:t xml:space="preserve"> mg/kg/day</w:t>
      </w:r>
    </w:p>
    <w:p w14:paraId="6502D5D2" w14:textId="77777777" w:rsidR="00CF59EF" w:rsidRDefault="00CF59EF">
      <w:pPr>
        <w:rPr>
          <w:rFonts w:eastAsia="Calibri"/>
          <w:b/>
          <w:caps/>
          <w:sz w:val="28"/>
          <w:szCs w:val="28"/>
          <w:lang w:eastAsia="en-US"/>
        </w:rPr>
      </w:pPr>
    </w:p>
    <w:p w14:paraId="38D1C676" w14:textId="77777777" w:rsidR="00CF59EF" w:rsidRPr="006D35BB" w:rsidRDefault="000B5D37">
      <w:pPr>
        <w:rPr>
          <w:rFonts w:eastAsia="Calibri"/>
          <w:b/>
          <w:caps/>
          <w:sz w:val="22"/>
          <w:szCs w:val="22"/>
          <w:lang w:eastAsia="en-US"/>
        </w:rPr>
      </w:pPr>
      <w:r w:rsidRPr="006D35BB">
        <w:rPr>
          <w:rFonts w:eastAsia="Calibri"/>
          <w:b/>
          <w:caps/>
          <w:sz w:val="22"/>
          <w:szCs w:val="22"/>
          <w:lang w:eastAsia="en-US"/>
        </w:rPr>
        <w:t>ENVIRONMENTAL RISK ASSESSMENT</w:t>
      </w:r>
    </w:p>
    <w:p w14:paraId="62B7694B" w14:textId="77777777" w:rsidR="00CF59EF" w:rsidRDefault="00CF59EF">
      <w:pPr>
        <w:rPr>
          <w:rFonts w:eastAsia="Calibri"/>
          <w:b/>
          <w:caps/>
          <w:sz w:val="28"/>
          <w:szCs w:val="28"/>
          <w:lang w:eastAsia="en-US"/>
        </w:rPr>
      </w:pPr>
    </w:p>
    <w:p w14:paraId="314F4694" w14:textId="77777777" w:rsidR="00CF59EF" w:rsidRDefault="000B5D37">
      <w:pPr>
        <w:rPr>
          <w:rFonts w:eastAsia="Calibri"/>
          <w:b/>
          <w:caps/>
          <w:sz w:val="22"/>
          <w:szCs w:val="22"/>
          <w:lang w:eastAsia="en-US"/>
        </w:rPr>
      </w:pPr>
      <w:r>
        <w:rPr>
          <w:rFonts w:eastAsia="Calibri"/>
          <w:b/>
          <w:caps/>
          <w:sz w:val="22"/>
          <w:szCs w:val="22"/>
          <w:lang w:eastAsia="en-US"/>
        </w:rPr>
        <w:t>SIMPLETREAT (v4.0)</w:t>
      </w:r>
    </w:p>
    <w:p w14:paraId="4953578F" w14:textId="77777777" w:rsidR="00CF59EF" w:rsidRDefault="000B5D37">
      <w:pPr>
        <w:rPr>
          <w:rFonts w:eastAsia="Calibri"/>
          <w:b/>
          <w:caps/>
          <w:sz w:val="28"/>
          <w:szCs w:val="28"/>
          <w:lang w:eastAsia="en-US"/>
        </w:rPr>
      </w:pPr>
      <w:r>
        <w:rPr>
          <w:noProof/>
          <w:lang w:val="nl-NL" w:eastAsia="nl-NL"/>
        </w:rPr>
        <w:drawing>
          <wp:inline distT="0" distB="0" distL="0" distR="0" wp14:anchorId="3EDCEF33" wp14:editId="3CD144EE">
            <wp:extent cx="4328795" cy="442341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7"/>
                    <a:stretch>
                      <a:fillRect/>
                    </a:stretch>
                  </pic:blipFill>
                  <pic:spPr bwMode="auto">
                    <a:xfrm>
                      <a:off x="0" y="0"/>
                      <a:ext cx="4328795" cy="4423410"/>
                    </a:xfrm>
                    <a:prstGeom prst="rect">
                      <a:avLst/>
                    </a:prstGeom>
                  </pic:spPr>
                </pic:pic>
              </a:graphicData>
            </a:graphic>
          </wp:inline>
        </w:drawing>
      </w:r>
    </w:p>
    <w:p w14:paraId="1D52E0D8" w14:textId="77777777" w:rsidR="00CF59EF" w:rsidRDefault="000B5D37">
      <w:pPr>
        <w:rPr>
          <w:rFonts w:eastAsia="Calibri"/>
          <w:b/>
          <w:caps/>
          <w:sz w:val="28"/>
          <w:szCs w:val="28"/>
          <w:lang w:eastAsia="en-US"/>
        </w:rPr>
      </w:pPr>
      <w:r>
        <w:rPr>
          <w:noProof/>
          <w:lang w:val="nl-NL" w:eastAsia="nl-NL"/>
        </w:rPr>
        <w:lastRenderedPageBreak/>
        <w:drawing>
          <wp:inline distT="0" distB="0" distL="0" distR="0" wp14:anchorId="434E2A4A" wp14:editId="28B92BD5">
            <wp:extent cx="4328795" cy="337756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8"/>
                    <a:stretch>
                      <a:fillRect/>
                    </a:stretch>
                  </pic:blipFill>
                  <pic:spPr bwMode="auto">
                    <a:xfrm>
                      <a:off x="0" y="0"/>
                      <a:ext cx="4328795" cy="3377565"/>
                    </a:xfrm>
                    <a:prstGeom prst="rect">
                      <a:avLst/>
                    </a:prstGeom>
                  </pic:spPr>
                </pic:pic>
              </a:graphicData>
            </a:graphic>
          </wp:inline>
        </w:drawing>
      </w:r>
    </w:p>
    <w:p w14:paraId="0F88746C" w14:textId="77777777" w:rsidR="00EB287D" w:rsidRDefault="00EB287D">
      <w:pPr>
        <w:rPr>
          <w:rFonts w:eastAsia="Calibri"/>
          <w:b/>
          <w:caps/>
          <w:sz w:val="22"/>
          <w:szCs w:val="22"/>
          <w:lang w:eastAsia="en-US"/>
        </w:rPr>
      </w:pPr>
    </w:p>
    <w:p w14:paraId="00E6FE53" w14:textId="77777777" w:rsidR="00CF59EF" w:rsidRDefault="000B5D37">
      <w:pPr>
        <w:rPr>
          <w:rFonts w:eastAsia="Calibri"/>
          <w:b/>
          <w:caps/>
          <w:sz w:val="22"/>
          <w:szCs w:val="22"/>
          <w:lang w:eastAsia="en-US"/>
        </w:rPr>
      </w:pPr>
      <w:r>
        <w:rPr>
          <w:rFonts w:eastAsia="Calibri"/>
          <w:b/>
          <w:caps/>
          <w:sz w:val="22"/>
          <w:szCs w:val="22"/>
          <w:lang w:eastAsia="en-US"/>
        </w:rPr>
        <w:t>LOCAL EMISSIONS RATES TO WASTEWATER (ESD PT6)</w:t>
      </w:r>
    </w:p>
    <w:p w14:paraId="38B75446" w14:textId="77777777" w:rsidR="00CF59EF" w:rsidRDefault="00CF59EF">
      <w:pPr>
        <w:rPr>
          <w:rFonts w:eastAsia="Calibri"/>
          <w:b/>
          <w:caps/>
          <w:sz w:val="22"/>
          <w:szCs w:val="22"/>
          <w:lang w:eastAsia="en-US"/>
        </w:rPr>
      </w:pPr>
    </w:p>
    <w:p w14:paraId="6C28DC04" w14:textId="77777777" w:rsidR="00CF59EF" w:rsidRDefault="000B5D37">
      <w:pPr>
        <w:rPr>
          <w:rFonts w:eastAsia="Calibri"/>
          <w:sz w:val="22"/>
          <w:szCs w:val="22"/>
          <w:lang w:eastAsia="en-US"/>
        </w:rPr>
      </w:pPr>
      <w:r>
        <w:rPr>
          <w:rFonts w:eastAsia="Calibri"/>
          <w:sz w:val="22"/>
          <w:szCs w:val="22"/>
          <w:lang w:eastAsia="en-US"/>
        </w:rPr>
        <w:t xml:space="preserve">ESD PT6: Emission scenario for calculating the release of preservatives used in professional detergents for surface cleaning in industrial areas </w:t>
      </w:r>
    </w:p>
    <w:p w14:paraId="768D81E8" w14:textId="77777777" w:rsidR="00CF59EF" w:rsidRDefault="000B5D37">
      <w:pPr>
        <w:rPr>
          <w:rFonts w:eastAsia="Calibri"/>
          <w:sz w:val="22"/>
          <w:szCs w:val="22"/>
          <w:lang w:eastAsia="en-US"/>
        </w:rPr>
      </w:pPr>
      <w:r>
        <w:rPr>
          <w:noProof/>
          <w:lang w:val="nl-NL" w:eastAsia="nl-NL"/>
        </w:rPr>
        <w:drawing>
          <wp:inline distT="0" distB="2540" distL="0" distR="7620" wp14:anchorId="62D340C6" wp14:editId="5D68E72F">
            <wp:extent cx="4869180" cy="197866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r:embed="rId29"/>
                    <a:stretch>
                      <a:fillRect/>
                    </a:stretch>
                  </pic:blipFill>
                  <pic:spPr bwMode="auto">
                    <a:xfrm>
                      <a:off x="0" y="0"/>
                      <a:ext cx="4869180" cy="1978660"/>
                    </a:xfrm>
                    <a:prstGeom prst="rect">
                      <a:avLst/>
                    </a:prstGeom>
                  </pic:spPr>
                </pic:pic>
              </a:graphicData>
            </a:graphic>
          </wp:inline>
        </w:drawing>
      </w:r>
    </w:p>
    <w:p w14:paraId="2DBD963F" w14:textId="77777777" w:rsidR="00CF59EF" w:rsidRDefault="00CF59EF">
      <w:pPr>
        <w:rPr>
          <w:rFonts w:eastAsia="Calibri"/>
          <w:sz w:val="22"/>
          <w:szCs w:val="22"/>
          <w:lang w:eastAsia="en-US"/>
        </w:rPr>
      </w:pPr>
    </w:p>
    <w:p w14:paraId="5D39B731" w14:textId="77777777" w:rsidR="00CF59EF" w:rsidRDefault="000B5D37">
      <w:pPr>
        <w:rPr>
          <w:rFonts w:eastAsia="Calibri"/>
          <w:sz w:val="22"/>
          <w:szCs w:val="22"/>
          <w:lang w:eastAsia="en-US"/>
        </w:rPr>
      </w:pPr>
      <w:r>
        <w:rPr>
          <w:rFonts w:eastAsia="Calibri"/>
          <w:sz w:val="22"/>
          <w:szCs w:val="22"/>
          <w:lang w:eastAsia="en-US"/>
        </w:rPr>
        <w:t>ESD PT6: Emission scenario for calculating the releases of preservatives used in detergents for sanitary purposes based on average consumption</w:t>
      </w:r>
    </w:p>
    <w:p w14:paraId="0A35B782" w14:textId="77777777" w:rsidR="00CF59EF" w:rsidRDefault="000B5D37">
      <w:pPr>
        <w:rPr>
          <w:rFonts w:eastAsia="Calibri"/>
          <w:sz w:val="22"/>
          <w:szCs w:val="22"/>
          <w:lang w:eastAsia="en-US"/>
        </w:rPr>
      </w:pPr>
      <w:r>
        <w:rPr>
          <w:noProof/>
          <w:lang w:val="nl-NL" w:eastAsia="nl-NL"/>
        </w:rPr>
        <w:drawing>
          <wp:inline distT="0" distB="3175" distL="0" distR="0" wp14:anchorId="1C79EE90" wp14:editId="0CC1C0CA">
            <wp:extent cx="4878705" cy="171196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noChangeArrowheads="1"/>
                    </pic:cNvPicPr>
                  </pic:nvPicPr>
                  <pic:blipFill>
                    <a:blip r:embed="rId30"/>
                    <a:stretch>
                      <a:fillRect/>
                    </a:stretch>
                  </pic:blipFill>
                  <pic:spPr bwMode="auto">
                    <a:xfrm>
                      <a:off x="0" y="0"/>
                      <a:ext cx="4878705" cy="1711960"/>
                    </a:xfrm>
                    <a:prstGeom prst="rect">
                      <a:avLst/>
                    </a:prstGeom>
                  </pic:spPr>
                </pic:pic>
              </a:graphicData>
            </a:graphic>
          </wp:inline>
        </w:drawing>
      </w:r>
    </w:p>
    <w:p w14:paraId="49CDAE7F" w14:textId="77777777" w:rsidR="00CF59EF" w:rsidRDefault="00CF59EF">
      <w:pPr>
        <w:rPr>
          <w:rFonts w:eastAsia="Calibri"/>
          <w:sz w:val="22"/>
          <w:szCs w:val="22"/>
          <w:lang w:eastAsia="en-US"/>
        </w:rPr>
      </w:pPr>
    </w:p>
    <w:p w14:paraId="72AC27C8" w14:textId="77777777" w:rsidR="00170DA6" w:rsidRDefault="00170DA6" w:rsidP="00170DA6">
      <w:pPr>
        <w:rPr>
          <w:rFonts w:eastAsia="Calibri"/>
          <w:sz w:val="22"/>
          <w:szCs w:val="22"/>
          <w:lang w:eastAsia="en-US"/>
        </w:rPr>
      </w:pPr>
      <w:r>
        <w:rPr>
          <w:rFonts w:eastAsia="Calibri"/>
          <w:sz w:val="22"/>
          <w:szCs w:val="22"/>
          <w:lang w:eastAsia="en-US"/>
        </w:rPr>
        <w:t xml:space="preserve">ESD PT6: Emission scenario for calculating the release of preservatives used in professional detergents </w:t>
      </w:r>
      <w:r w:rsidRPr="00170DA6">
        <w:rPr>
          <w:rFonts w:eastAsia="Calibri"/>
          <w:sz w:val="22"/>
          <w:szCs w:val="22"/>
          <w:lang w:eastAsia="en-US"/>
        </w:rPr>
        <w:t>used for laundry from hospitals in washing streets</w:t>
      </w:r>
    </w:p>
    <w:tbl>
      <w:tblPr>
        <w:tblW w:w="9340" w:type="dxa"/>
        <w:tblInd w:w="55" w:type="dxa"/>
        <w:tblCellMar>
          <w:left w:w="70" w:type="dxa"/>
          <w:right w:w="70" w:type="dxa"/>
        </w:tblCellMar>
        <w:tblLook w:val="04A0" w:firstRow="1" w:lastRow="0" w:firstColumn="1" w:lastColumn="0" w:noHBand="0" w:noVBand="1"/>
      </w:tblPr>
      <w:tblGrid>
        <w:gridCol w:w="4700"/>
        <w:gridCol w:w="1240"/>
        <w:gridCol w:w="1400"/>
        <w:gridCol w:w="1080"/>
        <w:gridCol w:w="920"/>
      </w:tblGrid>
      <w:tr w:rsidR="00170DA6" w:rsidRPr="006B6BB9" w14:paraId="57B9B79E" w14:textId="77777777" w:rsidTr="00D428E3">
        <w:trPr>
          <w:trHeight w:val="300"/>
        </w:trPr>
        <w:tc>
          <w:tcPr>
            <w:tcW w:w="4700" w:type="dxa"/>
            <w:tcBorders>
              <w:top w:val="single" w:sz="8" w:space="0" w:color="auto"/>
              <w:left w:val="single" w:sz="8" w:space="0" w:color="auto"/>
              <w:bottom w:val="nil"/>
              <w:right w:val="nil"/>
            </w:tcBorders>
            <w:shd w:val="clear" w:color="auto" w:fill="auto"/>
            <w:noWrap/>
            <w:vAlign w:val="bottom"/>
            <w:hideMark/>
          </w:tcPr>
          <w:p w14:paraId="517F2834" w14:textId="77777777"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Parameter/</w:t>
            </w:r>
            <w:proofErr w:type="spellStart"/>
            <w:r w:rsidRPr="006B6BB9">
              <w:rPr>
                <w:b/>
                <w:bCs/>
                <w:color w:val="000000"/>
                <w:sz w:val="18"/>
                <w:szCs w:val="18"/>
                <w:lang w:val="nl-NL" w:eastAsia="nl-NL"/>
              </w:rPr>
              <w:t>variable</w:t>
            </w:r>
            <w:proofErr w:type="spellEnd"/>
          </w:p>
        </w:tc>
        <w:tc>
          <w:tcPr>
            <w:tcW w:w="1240" w:type="dxa"/>
            <w:tcBorders>
              <w:top w:val="single" w:sz="8" w:space="0" w:color="auto"/>
              <w:left w:val="single" w:sz="4" w:space="0" w:color="auto"/>
              <w:bottom w:val="nil"/>
              <w:right w:val="single" w:sz="4" w:space="0" w:color="auto"/>
            </w:tcBorders>
            <w:shd w:val="clear" w:color="auto" w:fill="auto"/>
            <w:noWrap/>
            <w:vAlign w:val="bottom"/>
            <w:hideMark/>
          </w:tcPr>
          <w:p w14:paraId="1636392C" w14:textId="77777777" w:rsidR="00170DA6" w:rsidRPr="006B6BB9" w:rsidRDefault="00170DA6" w:rsidP="00D428E3">
            <w:pPr>
              <w:jc w:val="center"/>
              <w:rPr>
                <w:b/>
                <w:bCs/>
                <w:color w:val="000000"/>
                <w:sz w:val="18"/>
                <w:szCs w:val="18"/>
                <w:lang w:val="nl-NL" w:eastAsia="nl-NL"/>
              </w:rPr>
            </w:pPr>
            <w:proofErr w:type="spellStart"/>
            <w:r w:rsidRPr="006B6BB9">
              <w:rPr>
                <w:b/>
                <w:bCs/>
                <w:color w:val="000000"/>
                <w:sz w:val="18"/>
                <w:szCs w:val="18"/>
                <w:lang w:val="nl-NL" w:eastAsia="nl-NL"/>
              </w:rPr>
              <w:t>Symbol</w:t>
            </w:r>
            <w:proofErr w:type="spellEnd"/>
          </w:p>
        </w:tc>
        <w:tc>
          <w:tcPr>
            <w:tcW w:w="1400" w:type="dxa"/>
            <w:tcBorders>
              <w:top w:val="single" w:sz="8" w:space="0" w:color="auto"/>
              <w:left w:val="nil"/>
              <w:bottom w:val="nil"/>
              <w:right w:val="nil"/>
            </w:tcBorders>
            <w:shd w:val="clear" w:color="auto" w:fill="auto"/>
            <w:noWrap/>
            <w:vAlign w:val="bottom"/>
            <w:hideMark/>
          </w:tcPr>
          <w:p w14:paraId="393BFE23" w14:textId="77777777" w:rsidR="00170DA6" w:rsidRPr="006B6BB9" w:rsidRDefault="00170DA6" w:rsidP="00D428E3">
            <w:pPr>
              <w:jc w:val="center"/>
              <w:rPr>
                <w:b/>
                <w:bCs/>
                <w:color w:val="000000"/>
                <w:sz w:val="18"/>
                <w:szCs w:val="18"/>
                <w:lang w:val="nl-NL" w:eastAsia="nl-NL"/>
              </w:rPr>
            </w:pPr>
            <w:r w:rsidRPr="006B6BB9">
              <w:rPr>
                <w:b/>
                <w:bCs/>
                <w:color w:val="000000"/>
                <w:sz w:val="18"/>
                <w:szCs w:val="18"/>
                <w:lang w:val="nl-NL" w:eastAsia="nl-NL"/>
              </w:rPr>
              <w:t>Value</w:t>
            </w:r>
          </w:p>
        </w:tc>
        <w:tc>
          <w:tcPr>
            <w:tcW w:w="1080" w:type="dxa"/>
            <w:tcBorders>
              <w:top w:val="single" w:sz="8" w:space="0" w:color="auto"/>
              <w:left w:val="single" w:sz="4" w:space="0" w:color="auto"/>
              <w:bottom w:val="nil"/>
              <w:right w:val="single" w:sz="4" w:space="0" w:color="auto"/>
            </w:tcBorders>
            <w:shd w:val="clear" w:color="auto" w:fill="auto"/>
            <w:noWrap/>
            <w:vAlign w:val="bottom"/>
            <w:hideMark/>
          </w:tcPr>
          <w:p w14:paraId="4D91648C" w14:textId="77777777" w:rsidR="00170DA6" w:rsidRPr="006B6BB9" w:rsidRDefault="00170DA6" w:rsidP="00D428E3">
            <w:pPr>
              <w:jc w:val="center"/>
              <w:rPr>
                <w:b/>
                <w:bCs/>
                <w:color w:val="000000"/>
                <w:sz w:val="18"/>
                <w:szCs w:val="18"/>
                <w:lang w:val="nl-NL" w:eastAsia="nl-NL"/>
              </w:rPr>
            </w:pPr>
            <w:r w:rsidRPr="006B6BB9">
              <w:rPr>
                <w:b/>
                <w:bCs/>
                <w:color w:val="000000"/>
                <w:sz w:val="18"/>
                <w:szCs w:val="18"/>
                <w:lang w:val="nl-NL" w:eastAsia="nl-NL"/>
              </w:rPr>
              <w:t>Unit</w:t>
            </w:r>
          </w:p>
        </w:tc>
        <w:tc>
          <w:tcPr>
            <w:tcW w:w="920" w:type="dxa"/>
            <w:tcBorders>
              <w:top w:val="single" w:sz="8" w:space="0" w:color="auto"/>
              <w:left w:val="nil"/>
              <w:bottom w:val="nil"/>
              <w:right w:val="single" w:sz="8" w:space="0" w:color="auto"/>
            </w:tcBorders>
            <w:shd w:val="clear" w:color="auto" w:fill="auto"/>
            <w:noWrap/>
            <w:vAlign w:val="bottom"/>
            <w:hideMark/>
          </w:tcPr>
          <w:p w14:paraId="5DCB34E9" w14:textId="77777777" w:rsidR="00170DA6" w:rsidRPr="006B6BB9" w:rsidRDefault="00170DA6" w:rsidP="00D428E3">
            <w:pPr>
              <w:jc w:val="center"/>
              <w:rPr>
                <w:b/>
                <w:bCs/>
                <w:color w:val="000000"/>
                <w:sz w:val="18"/>
                <w:szCs w:val="18"/>
                <w:lang w:val="nl-NL" w:eastAsia="nl-NL"/>
              </w:rPr>
            </w:pPr>
            <w:proofErr w:type="spellStart"/>
            <w:r w:rsidRPr="006B6BB9">
              <w:rPr>
                <w:b/>
                <w:bCs/>
                <w:color w:val="000000"/>
                <w:sz w:val="18"/>
                <w:szCs w:val="18"/>
                <w:lang w:val="nl-NL" w:eastAsia="nl-NL"/>
              </w:rPr>
              <w:t>Origin</w:t>
            </w:r>
            <w:proofErr w:type="spellEnd"/>
          </w:p>
        </w:tc>
      </w:tr>
      <w:tr w:rsidR="00170DA6" w:rsidRPr="006B6BB9" w14:paraId="6931AF56"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0AC61499" w14:textId="77777777"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Input</w:t>
            </w:r>
          </w:p>
        </w:tc>
        <w:tc>
          <w:tcPr>
            <w:tcW w:w="1240" w:type="dxa"/>
            <w:tcBorders>
              <w:top w:val="nil"/>
              <w:left w:val="single" w:sz="4" w:space="0" w:color="auto"/>
              <w:bottom w:val="nil"/>
              <w:right w:val="single" w:sz="4" w:space="0" w:color="auto"/>
            </w:tcBorders>
            <w:shd w:val="clear" w:color="auto" w:fill="auto"/>
            <w:noWrap/>
            <w:vAlign w:val="bottom"/>
            <w:hideMark/>
          </w:tcPr>
          <w:p w14:paraId="6C10F025" w14:textId="77777777" w:rsidR="00170DA6" w:rsidRPr="006B6BB9" w:rsidRDefault="00170DA6" w:rsidP="00D428E3">
            <w:pPr>
              <w:jc w:val="center"/>
              <w:rPr>
                <w:b/>
                <w:bCs/>
                <w:color w:val="000000"/>
                <w:sz w:val="18"/>
                <w:szCs w:val="18"/>
                <w:lang w:val="nl-NL" w:eastAsia="nl-NL"/>
              </w:rPr>
            </w:pPr>
          </w:p>
        </w:tc>
        <w:tc>
          <w:tcPr>
            <w:tcW w:w="1400" w:type="dxa"/>
            <w:tcBorders>
              <w:top w:val="nil"/>
              <w:left w:val="nil"/>
              <w:bottom w:val="nil"/>
              <w:right w:val="nil"/>
            </w:tcBorders>
            <w:shd w:val="clear" w:color="auto" w:fill="auto"/>
            <w:noWrap/>
            <w:vAlign w:val="bottom"/>
            <w:hideMark/>
          </w:tcPr>
          <w:p w14:paraId="60D9AEFB" w14:textId="77777777" w:rsidR="00170DA6" w:rsidRPr="006B6BB9" w:rsidRDefault="00170DA6" w:rsidP="00D428E3">
            <w:pPr>
              <w:jc w:val="center"/>
              <w:rPr>
                <w:b/>
                <w:bCs/>
                <w:color w:val="000000"/>
                <w:sz w:val="18"/>
                <w:szCs w:val="18"/>
                <w:lang w:val="nl-NL" w:eastAsia="nl-NL"/>
              </w:rPr>
            </w:pPr>
          </w:p>
        </w:tc>
        <w:tc>
          <w:tcPr>
            <w:tcW w:w="1080" w:type="dxa"/>
            <w:tcBorders>
              <w:top w:val="nil"/>
              <w:left w:val="single" w:sz="4" w:space="0" w:color="auto"/>
              <w:bottom w:val="nil"/>
              <w:right w:val="single" w:sz="4" w:space="0" w:color="auto"/>
            </w:tcBorders>
            <w:shd w:val="clear" w:color="auto" w:fill="auto"/>
            <w:noWrap/>
            <w:vAlign w:val="bottom"/>
            <w:hideMark/>
          </w:tcPr>
          <w:p w14:paraId="1A1AB09F" w14:textId="77777777" w:rsidR="00170DA6" w:rsidRPr="006B6BB9" w:rsidRDefault="00170DA6" w:rsidP="00D428E3">
            <w:pPr>
              <w:jc w:val="center"/>
              <w:rPr>
                <w:b/>
                <w:bCs/>
                <w:color w:val="000000"/>
                <w:sz w:val="18"/>
                <w:szCs w:val="18"/>
                <w:lang w:val="nl-NL" w:eastAsia="nl-NL"/>
              </w:rPr>
            </w:pPr>
          </w:p>
        </w:tc>
        <w:tc>
          <w:tcPr>
            <w:tcW w:w="920" w:type="dxa"/>
            <w:tcBorders>
              <w:top w:val="nil"/>
              <w:left w:val="nil"/>
              <w:bottom w:val="nil"/>
              <w:right w:val="single" w:sz="8" w:space="0" w:color="auto"/>
            </w:tcBorders>
            <w:shd w:val="clear" w:color="auto" w:fill="auto"/>
            <w:noWrap/>
            <w:vAlign w:val="bottom"/>
            <w:hideMark/>
          </w:tcPr>
          <w:p w14:paraId="0CF68AA6" w14:textId="77777777" w:rsidR="00170DA6" w:rsidRPr="006B6BB9" w:rsidRDefault="00170DA6" w:rsidP="00D428E3">
            <w:pPr>
              <w:jc w:val="center"/>
              <w:rPr>
                <w:b/>
                <w:bCs/>
                <w:color w:val="000000"/>
                <w:sz w:val="18"/>
                <w:szCs w:val="18"/>
                <w:lang w:val="nl-NL" w:eastAsia="nl-NL"/>
              </w:rPr>
            </w:pPr>
          </w:p>
        </w:tc>
      </w:tr>
      <w:tr w:rsidR="00170DA6" w:rsidRPr="006B6BB9" w14:paraId="4D4FBB7E"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32205674" w14:textId="77777777" w:rsidR="00170DA6" w:rsidRPr="00C367D4" w:rsidRDefault="00170DA6" w:rsidP="00D428E3">
            <w:pPr>
              <w:rPr>
                <w:color w:val="000000"/>
                <w:sz w:val="18"/>
                <w:szCs w:val="18"/>
                <w:lang w:val="en-US" w:eastAsia="nl-NL"/>
              </w:rPr>
            </w:pPr>
            <w:r w:rsidRPr="00C367D4">
              <w:rPr>
                <w:color w:val="000000"/>
                <w:sz w:val="18"/>
                <w:szCs w:val="18"/>
                <w:lang w:val="en-US" w:eastAsia="nl-NL"/>
              </w:rPr>
              <w:t>Number of washing tubes (with disinfectant)</w:t>
            </w:r>
          </w:p>
        </w:tc>
        <w:tc>
          <w:tcPr>
            <w:tcW w:w="1240" w:type="dxa"/>
            <w:tcBorders>
              <w:top w:val="nil"/>
              <w:left w:val="single" w:sz="4" w:space="0" w:color="auto"/>
              <w:bottom w:val="nil"/>
              <w:right w:val="single" w:sz="4" w:space="0" w:color="auto"/>
            </w:tcBorders>
            <w:shd w:val="clear" w:color="auto" w:fill="auto"/>
            <w:noWrap/>
            <w:vAlign w:val="bottom"/>
            <w:hideMark/>
          </w:tcPr>
          <w:p w14:paraId="1DA15C4F"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Nm</w:t>
            </w:r>
          </w:p>
        </w:tc>
        <w:tc>
          <w:tcPr>
            <w:tcW w:w="1400" w:type="dxa"/>
            <w:tcBorders>
              <w:top w:val="nil"/>
              <w:left w:val="nil"/>
              <w:bottom w:val="nil"/>
              <w:right w:val="nil"/>
            </w:tcBorders>
            <w:shd w:val="clear" w:color="auto" w:fill="auto"/>
            <w:noWrap/>
            <w:vAlign w:val="bottom"/>
            <w:hideMark/>
          </w:tcPr>
          <w:p w14:paraId="525F1711"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3</w:t>
            </w:r>
          </w:p>
        </w:tc>
        <w:tc>
          <w:tcPr>
            <w:tcW w:w="1080" w:type="dxa"/>
            <w:tcBorders>
              <w:top w:val="nil"/>
              <w:left w:val="single" w:sz="4" w:space="0" w:color="auto"/>
              <w:bottom w:val="nil"/>
              <w:right w:val="single" w:sz="4" w:space="0" w:color="auto"/>
            </w:tcBorders>
            <w:shd w:val="clear" w:color="auto" w:fill="auto"/>
            <w:noWrap/>
            <w:vAlign w:val="bottom"/>
            <w:hideMark/>
          </w:tcPr>
          <w:p w14:paraId="2504D53F"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14:paraId="4575A535"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14:paraId="0141E582"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06D8B76E" w14:textId="77777777" w:rsidR="00170DA6" w:rsidRPr="00C367D4" w:rsidRDefault="00170DA6" w:rsidP="00D428E3">
            <w:pPr>
              <w:rPr>
                <w:color w:val="000000"/>
                <w:sz w:val="18"/>
                <w:szCs w:val="18"/>
                <w:lang w:val="en-US" w:eastAsia="nl-NL"/>
              </w:rPr>
            </w:pPr>
            <w:r w:rsidRPr="00C367D4">
              <w:rPr>
                <w:color w:val="000000"/>
                <w:sz w:val="18"/>
                <w:szCs w:val="18"/>
                <w:lang w:val="en-US" w:eastAsia="nl-NL"/>
              </w:rPr>
              <w:t>Capacity of washing tube (laundry)</w:t>
            </w:r>
          </w:p>
        </w:tc>
        <w:tc>
          <w:tcPr>
            <w:tcW w:w="1240" w:type="dxa"/>
            <w:tcBorders>
              <w:top w:val="nil"/>
              <w:left w:val="single" w:sz="4" w:space="0" w:color="auto"/>
              <w:bottom w:val="nil"/>
              <w:right w:val="single" w:sz="4" w:space="0" w:color="auto"/>
            </w:tcBorders>
            <w:shd w:val="clear" w:color="auto" w:fill="auto"/>
            <w:noWrap/>
            <w:vAlign w:val="bottom"/>
            <w:hideMark/>
          </w:tcPr>
          <w:p w14:paraId="4301A498"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Cap</w:t>
            </w:r>
          </w:p>
        </w:tc>
        <w:tc>
          <w:tcPr>
            <w:tcW w:w="1400" w:type="dxa"/>
            <w:tcBorders>
              <w:top w:val="nil"/>
              <w:left w:val="nil"/>
              <w:bottom w:val="nil"/>
              <w:right w:val="nil"/>
            </w:tcBorders>
            <w:shd w:val="clear" w:color="auto" w:fill="auto"/>
            <w:noWrap/>
            <w:vAlign w:val="bottom"/>
            <w:hideMark/>
          </w:tcPr>
          <w:p w14:paraId="31142673"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8000</w:t>
            </w:r>
          </w:p>
        </w:tc>
        <w:tc>
          <w:tcPr>
            <w:tcW w:w="1080" w:type="dxa"/>
            <w:tcBorders>
              <w:top w:val="nil"/>
              <w:left w:val="single" w:sz="4" w:space="0" w:color="auto"/>
              <w:bottom w:val="nil"/>
              <w:right w:val="single" w:sz="4" w:space="0" w:color="auto"/>
            </w:tcBorders>
            <w:shd w:val="clear" w:color="auto" w:fill="auto"/>
            <w:noWrap/>
            <w:vAlign w:val="bottom"/>
            <w:hideMark/>
          </w:tcPr>
          <w:p w14:paraId="6D13CB56"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kg/d</w:t>
            </w:r>
          </w:p>
        </w:tc>
        <w:tc>
          <w:tcPr>
            <w:tcW w:w="920" w:type="dxa"/>
            <w:tcBorders>
              <w:top w:val="nil"/>
              <w:left w:val="nil"/>
              <w:bottom w:val="nil"/>
              <w:right w:val="single" w:sz="8" w:space="0" w:color="auto"/>
            </w:tcBorders>
            <w:shd w:val="clear" w:color="auto" w:fill="auto"/>
            <w:noWrap/>
            <w:vAlign w:val="bottom"/>
            <w:hideMark/>
          </w:tcPr>
          <w:p w14:paraId="2B6C9FF9"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14:paraId="2CBAD3B4"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580E5BBB" w14:textId="77777777" w:rsidR="00170DA6" w:rsidRPr="00C367D4" w:rsidRDefault="00170DA6" w:rsidP="00D428E3">
            <w:pPr>
              <w:rPr>
                <w:color w:val="000000"/>
                <w:sz w:val="18"/>
                <w:szCs w:val="18"/>
                <w:lang w:val="en-US" w:eastAsia="nl-NL"/>
              </w:rPr>
            </w:pPr>
            <w:r w:rsidRPr="00C367D4">
              <w:rPr>
                <w:color w:val="000000"/>
                <w:sz w:val="18"/>
                <w:szCs w:val="18"/>
                <w:lang w:val="en-US" w:eastAsia="nl-NL"/>
              </w:rPr>
              <w:t>Amount of detergent per kg laundry</w:t>
            </w:r>
          </w:p>
        </w:tc>
        <w:tc>
          <w:tcPr>
            <w:tcW w:w="1240" w:type="dxa"/>
            <w:tcBorders>
              <w:top w:val="nil"/>
              <w:left w:val="single" w:sz="4" w:space="0" w:color="auto"/>
              <w:bottom w:val="nil"/>
              <w:right w:val="single" w:sz="4" w:space="0" w:color="auto"/>
            </w:tcBorders>
            <w:shd w:val="clear" w:color="auto" w:fill="auto"/>
            <w:noWrap/>
            <w:vAlign w:val="bottom"/>
            <w:hideMark/>
          </w:tcPr>
          <w:p w14:paraId="39E1F4EB" w14:textId="77777777"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V</w:t>
            </w:r>
            <w:r w:rsidRPr="006B6BB9">
              <w:rPr>
                <w:color w:val="000000"/>
                <w:sz w:val="18"/>
                <w:szCs w:val="18"/>
                <w:vertAlign w:val="subscript"/>
                <w:lang w:val="nl-NL" w:eastAsia="nl-NL"/>
              </w:rPr>
              <w:t>product</w:t>
            </w:r>
            <w:proofErr w:type="spellEnd"/>
          </w:p>
        </w:tc>
        <w:tc>
          <w:tcPr>
            <w:tcW w:w="1400" w:type="dxa"/>
            <w:tcBorders>
              <w:top w:val="nil"/>
              <w:left w:val="nil"/>
              <w:bottom w:val="nil"/>
              <w:right w:val="nil"/>
            </w:tcBorders>
            <w:shd w:val="clear" w:color="auto" w:fill="auto"/>
            <w:noWrap/>
            <w:vAlign w:val="bottom"/>
            <w:hideMark/>
          </w:tcPr>
          <w:p w14:paraId="2C7DB476"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6 x 10</w:t>
            </w:r>
            <w:r w:rsidRPr="006B6BB9">
              <w:rPr>
                <w:color w:val="000000"/>
                <w:sz w:val="18"/>
                <w:szCs w:val="18"/>
                <w:vertAlign w:val="superscript"/>
                <w:lang w:val="nl-NL" w:eastAsia="nl-NL"/>
              </w:rPr>
              <w:t>-3</w:t>
            </w:r>
          </w:p>
        </w:tc>
        <w:tc>
          <w:tcPr>
            <w:tcW w:w="1080" w:type="dxa"/>
            <w:tcBorders>
              <w:top w:val="nil"/>
              <w:left w:val="single" w:sz="4" w:space="0" w:color="auto"/>
              <w:bottom w:val="nil"/>
              <w:right w:val="single" w:sz="4" w:space="0" w:color="auto"/>
            </w:tcBorders>
            <w:shd w:val="clear" w:color="auto" w:fill="auto"/>
            <w:noWrap/>
            <w:vAlign w:val="bottom"/>
            <w:hideMark/>
          </w:tcPr>
          <w:p w14:paraId="6D80EB94"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L/kg</w:t>
            </w:r>
          </w:p>
        </w:tc>
        <w:tc>
          <w:tcPr>
            <w:tcW w:w="920" w:type="dxa"/>
            <w:tcBorders>
              <w:top w:val="nil"/>
              <w:left w:val="nil"/>
              <w:bottom w:val="nil"/>
              <w:right w:val="single" w:sz="8" w:space="0" w:color="auto"/>
            </w:tcBorders>
            <w:shd w:val="clear" w:color="auto" w:fill="auto"/>
            <w:noWrap/>
            <w:vAlign w:val="bottom"/>
            <w:hideMark/>
          </w:tcPr>
          <w:p w14:paraId="05DA8F5F"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14:paraId="5768A371"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16586FF8" w14:textId="77777777" w:rsidR="00170DA6" w:rsidRPr="00C367D4" w:rsidRDefault="00170DA6" w:rsidP="00D428E3">
            <w:pPr>
              <w:rPr>
                <w:color w:val="000000"/>
                <w:sz w:val="18"/>
                <w:szCs w:val="18"/>
                <w:lang w:val="en-US" w:eastAsia="nl-NL"/>
              </w:rPr>
            </w:pPr>
            <w:r w:rsidRPr="00C367D4">
              <w:rPr>
                <w:color w:val="000000"/>
                <w:sz w:val="18"/>
                <w:szCs w:val="18"/>
                <w:lang w:val="en-US" w:eastAsia="nl-NL"/>
              </w:rPr>
              <w:t>Concentration of active substance in detergent</w:t>
            </w:r>
          </w:p>
        </w:tc>
        <w:tc>
          <w:tcPr>
            <w:tcW w:w="1240" w:type="dxa"/>
            <w:tcBorders>
              <w:top w:val="nil"/>
              <w:left w:val="single" w:sz="4" w:space="0" w:color="auto"/>
              <w:bottom w:val="nil"/>
              <w:right w:val="single" w:sz="4" w:space="0" w:color="auto"/>
            </w:tcBorders>
            <w:shd w:val="clear" w:color="auto" w:fill="auto"/>
            <w:noWrap/>
            <w:vAlign w:val="bottom"/>
            <w:hideMark/>
          </w:tcPr>
          <w:p w14:paraId="59CC2CD2" w14:textId="77777777"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C</w:t>
            </w:r>
            <w:r w:rsidRPr="006B6BB9">
              <w:rPr>
                <w:color w:val="000000"/>
                <w:sz w:val="18"/>
                <w:szCs w:val="18"/>
                <w:vertAlign w:val="subscript"/>
                <w:lang w:val="nl-NL" w:eastAsia="nl-NL"/>
              </w:rPr>
              <w:t>detergent</w:t>
            </w:r>
            <w:proofErr w:type="spellEnd"/>
          </w:p>
        </w:tc>
        <w:tc>
          <w:tcPr>
            <w:tcW w:w="1400" w:type="dxa"/>
            <w:tcBorders>
              <w:top w:val="nil"/>
              <w:left w:val="nil"/>
              <w:bottom w:val="nil"/>
              <w:right w:val="nil"/>
            </w:tcBorders>
            <w:shd w:val="clear" w:color="auto" w:fill="auto"/>
            <w:noWrap/>
            <w:vAlign w:val="bottom"/>
            <w:hideMark/>
          </w:tcPr>
          <w:p w14:paraId="08E0692E"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0.0295</w:t>
            </w:r>
          </w:p>
        </w:tc>
        <w:tc>
          <w:tcPr>
            <w:tcW w:w="1080" w:type="dxa"/>
            <w:tcBorders>
              <w:top w:val="nil"/>
              <w:left w:val="single" w:sz="4" w:space="0" w:color="auto"/>
              <w:bottom w:val="nil"/>
              <w:right w:val="single" w:sz="4" w:space="0" w:color="auto"/>
            </w:tcBorders>
            <w:shd w:val="clear" w:color="auto" w:fill="auto"/>
            <w:noWrap/>
            <w:vAlign w:val="bottom"/>
            <w:hideMark/>
          </w:tcPr>
          <w:p w14:paraId="242FCAFA"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kg/L</w:t>
            </w:r>
          </w:p>
        </w:tc>
        <w:tc>
          <w:tcPr>
            <w:tcW w:w="920" w:type="dxa"/>
            <w:tcBorders>
              <w:top w:val="nil"/>
              <w:left w:val="nil"/>
              <w:bottom w:val="nil"/>
              <w:right w:val="single" w:sz="8" w:space="0" w:color="auto"/>
            </w:tcBorders>
            <w:shd w:val="clear" w:color="auto" w:fill="auto"/>
            <w:noWrap/>
            <w:vAlign w:val="bottom"/>
            <w:hideMark/>
          </w:tcPr>
          <w:p w14:paraId="588A9450"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S</w:t>
            </w:r>
          </w:p>
        </w:tc>
      </w:tr>
      <w:tr w:rsidR="00170DA6" w:rsidRPr="006B6BB9" w14:paraId="10266A6A"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645312D8" w14:textId="77777777" w:rsidR="00170DA6" w:rsidRPr="00C367D4" w:rsidRDefault="00170DA6" w:rsidP="00D428E3">
            <w:pPr>
              <w:rPr>
                <w:color w:val="000000"/>
                <w:sz w:val="18"/>
                <w:szCs w:val="18"/>
                <w:lang w:val="en-US" w:eastAsia="nl-NL"/>
              </w:rPr>
            </w:pPr>
            <w:r w:rsidRPr="00C367D4">
              <w:rPr>
                <w:color w:val="000000"/>
                <w:sz w:val="18"/>
                <w:szCs w:val="18"/>
                <w:lang w:val="en-US" w:eastAsia="nl-NL"/>
              </w:rPr>
              <w:t>Concentration reduction in washing process</w:t>
            </w:r>
          </w:p>
        </w:tc>
        <w:tc>
          <w:tcPr>
            <w:tcW w:w="1240" w:type="dxa"/>
            <w:tcBorders>
              <w:top w:val="nil"/>
              <w:left w:val="single" w:sz="4" w:space="0" w:color="auto"/>
              <w:bottom w:val="nil"/>
              <w:right w:val="single" w:sz="4" w:space="0" w:color="auto"/>
            </w:tcBorders>
            <w:shd w:val="clear" w:color="auto" w:fill="auto"/>
            <w:noWrap/>
            <w:vAlign w:val="bottom"/>
            <w:hideMark/>
          </w:tcPr>
          <w:p w14:paraId="6206DEC7"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F</w:t>
            </w:r>
            <w:r w:rsidRPr="006B6BB9">
              <w:rPr>
                <w:color w:val="000000"/>
                <w:sz w:val="18"/>
                <w:szCs w:val="18"/>
                <w:vertAlign w:val="subscript"/>
                <w:lang w:val="nl-NL" w:eastAsia="nl-NL"/>
              </w:rPr>
              <w:t>red</w:t>
            </w:r>
          </w:p>
        </w:tc>
        <w:tc>
          <w:tcPr>
            <w:tcW w:w="1400" w:type="dxa"/>
            <w:tcBorders>
              <w:top w:val="nil"/>
              <w:left w:val="nil"/>
              <w:bottom w:val="nil"/>
              <w:right w:val="nil"/>
            </w:tcBorders>
            <w:shd w:val="clear" w:color="auto" w:fill="auto"/>
            <w:noWrap/>
            <w:vAlign w:val="bottom"/>
            <w:hideMark/>
          </w:tcPr>
          <w:p w14:paraId="3C9D713A"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0</w:t>
            </w:r>
          </w:p>
        </w:tc>
        <w:tc>
          <w:tcPr>
            <w:tcW w:w="1080" w:type="dxa"/>
            <w:tcBorders>
              <w:top w:val="nil"/>
              <w:left w:val="single" w:sz="4" w:space="0" w:color="auto"/>
              <w:bottom w:val="nil"/>
              <w:right w:val="single" w:sz="4" w:space="0" w:color="auto"/>
            </w:tcBorders>
            <w:shd w:val="clear" w:color="auto" w:fill="auto"/>
            <w:noWrap/>
            <w:vAlign w:val="bottom"/>
            <w:hideMark/>
          </w:tcPr>
          <w:p w14:paraId="7F0D9E5A"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14:paraId="4880CC32"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14:paraId="03FA1894"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2CCD2C97" w14:textId="77777777" w:rsidR="00170DA6" w:rsidRPr="006B6BB9" w:rsidRDefault="00170DA6" w:rsidP="00D428E3">
            <w:pPr>
              <w:rPr>
                <w:color w:val="000000"/>
                <w:sz w:val="18"/>
                <w:szCs w:val="18"/>
                <w:lang w:val="nl-NL" w:eastAsia="nl-NL"/>
              </w:rPr>
            </w:pPr>
            <w:r w:rsidRPr="006B6BB9">
              <w:rPr>
                <w:color w:val="000000"/>
                <w:sz w:val="18"/>
                <w:szCs w:val="18"/>
                <w:lang w:val="nl-NL" w:eastAsia="nl-NL"/>
              </w:rPr>
              <w:t xml:space="preserve">Market </w:t>
            </w:r>
            <w:proofErr w:type="spellStart"/>
            <w:r w:rsidRPr="006B6BB9">
              <w:rPr>
                <w:color w:val="000000"/>
                <w:sz w:val="18"/>
                <w:szCs w:val="18"/>
                <w:lang w:val="nl-NL" w:eastAsia="nl-NL"/>
              </w:rPr>
              <w:t>penetration</w:t>
            </w:r>
            <w:proofErr w:type="spellEnd"/>
            <w:r w:rsidRPr="006B6BB9">
              <w:rPr>
                <w:color w:val="000000"/>
                <w:sz w:val="18"/>
                <w:szCs w:val="18"/>
                <w:lang w:val="nl-NL" w:eastAsia="nl-NL"/>
              </w:rPr>
              <w:t xml:space="preserve"> factor</w:t>
            </w:r>
          </w:p>
        </w:tc>
        <w:tc>
          <w:tcPr>
            <w:tcW w:w="1240" w:type="dxa"/>
            <w:tcBorders>
              <w:top w:val="nil"/>
              <w:left w:val="single" w:sz="4" w:space="0" w:color="auto"/>
              <w:bottom w:val="nil"/>
              <w:right w:val="single" w:sz="4" w:space="0" w:color="auto"/>
            </w:tcBorders>
            <w:shd w:val="clear" w:color="auto" w:fill="auto"/>
            <w:noWrap/>
            <w:vAlign w:val="bottom"/>
            <w:hideMark/>
          </w:tcPr>
          <w:p w14:paraId="56346CA7" w14:textId="77777777"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F</w:t>
            </w:r>
            <w:r w:rsidRPr="006B6BB9">
              <w:rPr>
                <w:color w:val="000000"/>
                <w:sz w:val="18"/>
                <w:szCs w:val="18"/>
                <w:vertAlign w:val="subscript"/>
                <w:lang w:val="nl-NL" w:eastAsia="nl-NL"/>
              </w:rPr>
              <w:t>penetr</w:t>
            </w:r>
            <w:proofErr w:type="spellEnd"/>
          </w:p>
        </w:tc>
        <w:tc>
          <w:tcPr>
            <w:tcW w:w="1400" w:type="dxa"/>
            <w:tcBorders>
              <w:top w:val="nil"/>
              <w:left w:val="nil"/>
              <w:bottom w:val="nil"/>
              <w:right w:val="nil"/>
            </w:tcBorders>
            <w:shd w:val="clear" w:color="auto" w:fill="auto"/>
            <w:noWrap/>
            <w:vAlign w:val="bottom"/>
            <w:hideMark/>
          </w:tcPr>
          <w:p w14:paraId="34392DAB"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1</w:t>
            </w:r>
          </w:p>
        </w:tc>
        <w:tc>
          <w:tcPr>
            <w:tcW w:w="1080" w:type="dxa"/>
            <w:tcBorders>
              <w:top w:val="nil"/>
              <w:left w:val="single" w:sz="4" w:space="0" w:color="auto"/>
              <w:bottom w:val="nil"/>
              <w:right w:val="single" w:sz="4" w:space="0" w:color="auto"/>
            </w:tcBorders>
            <w:shd w:val="clear" w:color="auto" w:fill="auto"/>
            <w:noWrap/>
            <w:vAlign w:val="bottom"/>
            <w:hideMark/>
          </w:tcPr>
          <w:p w14:paraId="1099BB49"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14:paraId="74B2A1E7"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14:paraId="00089C02" w14:textId="77777777" w:rsidTr="00D428E3">
        <w:trPr>
          <w:trHeight w:val="300"/>
        </w:trPr>
        <w:tc>
          <w:tcPr>
            <w:tcW w:w="4700" w:type="dxa"/>
            <w:tcBorders>
              <w:top w:val="nil"/>
              <w:left w:val="single" w:sz="8" w:space="0" w:color="auto"/>
              <w:bottom w:val="nil"/>
              <w:right w:val="nil"/>
            </w:tcBorders>
            <w:shd w:val="clear" w:color="auto" w:fill="auto"/>
            <w:noWrap/>
            <w:vAlign w:val="bottom"/>
            <w:hideMark/>
          </w:tcPr>
          <w:p w14:paraId="2C8D8A68" w14:textId="77777777"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Output</w:t>
            </w:r>
          </w:p>
        </w:tc>
        <w:tc>
          <w:tcPr>
            <w:tcW w:w="1240" w:type="dxa"/>
            <w:tcBorders>
              <w:top w:val="nil"/>
              <w:left w:val="single" w:sz="4" w:space="0" w:color="auto"/>
              <w:bottom w:val="nil"/>
              <w:right w:val="single" w:sz="4" w:space="0" w:color="auto"/>
            </w:tcBorders>
            <w:shd w:val="clear" w:color="auto" w:fill="auto"/>
            <w:noWrap/>
            <w:vAlign w:val="bottom"/>
            <w:hideMark/>
          </w:tcPr>
          <w:p w14:paraId="4D038ACD" w14:textId="77777777" w:rsidR="00170DA6" w:rsidRPr="006B6BB9" w:rsidRDefault="00170DA6" w:rsidP="00D428E3">
            <w:pPr>
              <w:jc w:val="center"/>
              <w:rPr>
                <w:color w:val="000000"/>
                <w:sz w:val="18"/>
                <w:szCs w:val="18"/>
                <w:lang w:val="nl-NL" w:eastAsia="nl-NL"/>
              </w:rPr>
            </w:pPr>
          </w:p>
        </w:tc>
        <w:tc>
          <w:tcPr>
            <w:tcW w:w="1400" w:type="dxa"/>
            <w:tcBorders>
              <w:top w:val="nil"/>
              <w:left w:val="nil"/>
              <w:bottom w:val="nil"/>
              <w:right w:val="nil"/>
            </w:tcBorders>
            <w:shd w:val="clear" w:color="auto" w:fill="auto"/>
            <w:noWrap/>
            <w:vAlign w:val="bottom"/>
            <w:hideMark/>
          </w:tcPr>
          <w:p w14:paraId="1BF0BE34" w14:textId="77777777" w:rsidR="00170DA6" w:rsidRPr="006B6BB9" w:rsidRDefault="00170DA6" w:rsidP="00D428E3">
            <w:pPr>
              <w:jc w:val="center"/>
              <w:rPr>
                <w:color w:val="000000"/>
                <w:sz w:val="18"/>
                <w:szCs w:val="18"/>
                <w:lang w:val="nl-NL" w:eastAsia="nl-NL"/>
              </w:rPr>
            </w:pPr>
          </w:p>
        </w:tc>
        <w:tc>
          <w:tcPr>
            <w:tcW w:w="1080" w:type="dxa"/>
            <w:tcBorders>
              <w:top w:val="nil"/>
              <w:left w:val="single" w:sz="4" w:space="0" w:color="auto"/>
              <w:bottom w:val="nil"/>
              <w:right w:val="single" w:sz="4" w:space="0" w:color="auto"/>
            </w:tcBorders>
            <w:shd w:val="clear" w:color="auto" w:fill="auto"/>
            <w:noWrap/>
            <w:vAlign w:val="bottom"/>
            <w:hideMark/>
          </w:tcPr>
          <w:p w14:paraId="7DBDA1A9" w14:textId="77777777" w:rsidR="00170DA6" w:rsidRPr="006B6BB9" w:rsidRDefault="00170DA6" w:rsidP="00D428E3">
            <w:pPr>
              <w:jc w:val="center"/>
              <w:rPr>
                <w:color w:val="000000"/>
                <w:sz w:val="18"/>
                <w:szCs w:val="18"/>
                <w:lang w:val="nl-NL" w:eastAsia="nl-NL"/>
              </w:rPr>
            </w:pPr>
          </w:p>
        </w:tc>
        <w:tc>
          <w:tcPr>
            <w:tcW w:w="920" w:type="dxa"/>
            <w:tcBorders>
              <w:top w:val="nil"/>
              <w:left w:val="nil"/>
              <w:bottom w:val="nil"/>
              <w:right w:val="single" w:sz="8" w:space="0" w:color="auto"/>
            </w:tcBorders>
            <w:shd w:val="clear" w:color="auto" w:fill="auto"/>
            <w:noWrap/>
            <w:vAlign w:val="bottom"/>
            <w:hideMark/>
          </w:tcPr>
          <w:p w14:paraId="6EEFC940" w14:textId="77777777" w:rsidR="00170DA6" w:rsidRPr="006B6BB9" w:rsidRDefault="00170DA6" w:rsidP="00D428E3">
            <w:pPr>
              <w:jc w:val="center"/>
              <w:rPr>
                <w:color w:val="000000"/>
                <w:sz w:val="18"/>
                <w:szCs w:val="18"/>
                <w:lang w:val="nl-NL" w:eastAsia="nl-NL"/>
              </w:rPr>
            </w:pPr>
          </w:p>
        </w:tc>
      </w:tr>
      <w:tr w:rsidR="00170DA6" w:rsidRPr="006B6BB9" w14:paraId="22375676" w14:textId="77777777" w:rsidTr="00D428E3">
        <w:trPr>
          <w:trHeight w:val="315"/>
        </w:trPr>
        <w:tc>
          <w:tcPr>
            <w:tcW w:w="4700" w:type="dxa"/>
            <w:tcBorders>
              <w:top w:val="nil"/>
              <w:left w:val="single" w:sz="8" w:space="0" w:color="auto"/>
              <w:bottom w:val="single" w:sz="8" w:space="0" w:color="auto"/>
              <w:right w:val="nil"/>
            </w:tcBorders>
            <w:shd w:val="clear" w:color="auto" w:fill="auto"/>
            <w:noWrap/>
            <w:vAlign w:val="bottom"/>
            <w:hideMark/>
          </w:tcPr>
          <w:p w14:paraId="6555A0A9" w14:textId="77777777" w:rsidR="00170DA6" w:rsidRPr="006B6BB9" w:rsidRDefault="00170DA6" w:rsidP="00D428E3">
            <w:pPr>
              <w:rPr>
                <w:color w:val="000000"/>
                <w:sz w:val="18"/>
                <w:szCs w:val="18"/>
                <w:lang w:val="nl-NL" w:eastAsia="nl-NL"/>
              </w:rPr>
            </w:pPr>
            <w:proofErr w:type="spellStart"/>
            <w:r w:rsidRPr="006B6BB9">
              <w:rPr>
                <w:color w:val="000000"/>
                <w:sz w:val="18"/>
                <w:szCs w:val="18"/>
                <w:lang w:val="nl-NL" w:eastAsia="nl-NL"/>
              </w:rPr>
              <w:t>Local</w:t>
            </w:r>
            <w:proofErr w:type="spellEnd"/>
            <w:r w:rsidRPr="006B6BB9">
              <w:rPr>
                <w:color w:val="000000"/>
                <w:sz w:val="18"/>
                <w:szCs w:val="18"/>
                <w:lang w:val="nl-NL" w:eastAsia="nl-NL"/>
              </w:rPr>
              <w:t xml:space="preserve"> release </w:t>
            </w:r>
            <w:proofErr w:type="spellStart"/>
            <w:r w:rsidRPr="006B6BB9">
              <w:rPr>
                <w:color w:val="000000"/>
                <w:sz w:val="18"/>
                <w:szCs w:val="18"/>
                <w:lang w:val="nl-NL" w:eastAsia="nl-NL"/>
              </w:rPr>
              <w:t>to</w:t>
            </w:r>
            <w:proofErr w:type="spellEnd"/>
            <w:r w:rsidRPr="006B6BB9">
              <w:rPr>
                <w:color w:val="000000"/>
                <w:sz w:val="18"/>
                <w:szCs w:val="18"/>
                <w:lang w:val="nl-NL" w:eastAsia="nl-NL"/>
              </w:rPr>
              <w:t xml:space="preserve"> </w:t>
            </w:r>
            <w:proofErr w:type="spellStart"/>
            <w:r w:rsidRPr="006B6BB9">
              <w:rPr>
                <w:color w:val="000000"/>
                <w:sz w:val="18"/>
                <w:szCs w:val="18"/>
                <w:lang w:val="nl-NL" w:eastAsia="nl-NL"/>
              </w:rPr>
              <w:t>wastewater</w:t>
            </w:r>
            <w:proofErr w:type="spellEnd"/>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14:paraId="21016C7B" w14:textId="77777777"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Elocal</w:t>
            </w:r>
            <w:r w:rsidRPr="006B6BB9">
              <w:rPr>
                <w:color w:val="000000"/>
                <w:sz w:val="18"/>
                <w:szCs w:val="18"/>
                <w:vertAlign w:val="subscript"/>
                <w:lang w:val="nl-NL" w:eastAsia="nl-NL"/>
              </w:rPr>
              <w:t>water</w:t>
            </w:r>
            <w:proofErr w:type="spellEnd"/>
          </w:p>
        </w:tc>
        <w:tc>
          <w:tcPr>
            <w:tcW w:w="1400" w:type="dxa"/>
            <w:tcBorders>
              <w:top w:val="nil"/>
              <w:left w:val="nil"/>
              <w:bottom w:val="single" w:sz="8" w:space="0" w:color="auto"/>
              <w:right w:val="nil"/>
            </w:tcBorders>
            <w:shd w:val="clear" w:color="auto" w:fill="auto"/>
            <w:noWrap/>
            <w:vAlign w:val="bottom"/>
            <w:hideMark/>
          </w:tcPr>
          <w:p w14:paraId="4EAB802D"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4.25</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246121DB"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kg/d</w:t>
            </w:r>
          </w:p>
        </w:tc>
        <w:tc>
          <w:tcPr>
            <w:tcW w:w="920" w:type="dxa"/>
            <w:tcBorders>
              <w:top w:val="nil"/>
              <w:left w:val="nil"/>
              <w:bottom w:val="single" w:sz="8" w:space="0" w:color="auto"/>
              <w:right w:val="single" w:sz="8" w:space="0" w:color="auto"/>
            </w:tcBorders>
            <w:shd w:val="clear" w:color="auto" w:fill="auto"/>
            <w:noWrap/>
            <w:vAlign w:val="bottom"/>
            <w:hideMark/>
          </w:tcPr>
          <w:p w14:paraId="3D5C8A6D" w14:textId="77777777" w:rsidR="00170DA6" w:rsidRPr="006B6BB9" w:rsidRDefault="00170DA6" w:rsidP="00D428E3">
            <w:pPr>
              <w:jc w:val="center"/>
              <w:rPr>
                <w:color w:val="000000"/>
                <w:sz w:val="18"/>
                <w:szCs w:val="18"/>
                <w:lang w:val="nl-NL" w:eastAsia="nl-NL"/>
              </w:rPr>
            </w:pPr>
            <w:r w:rsidRPr="006B6BB9">
              <w:rPr>
                <w:color w:val="000000"/>
                <w:sz w:val="18"/>
                <w:szCs w:val="18"/>
                <w:lang w:val="nl-NL" w:eastAsia="nl-NL"/>
              </w:rPr>
              <w:t>O</w:t>
            </w:r>
          </w:p>
        </w:tc>
      </w:tr>
    </w:tbl>
    <w:p w14:paraId="3FFC9EB2" w14:textId="77777777" w:rsidR="00170DA6" w:rsidRDefault="00170DA6"/>
    <w:p w14:paraId="5960E47C" w14:textId="77777777" w:rsidR="00CF59EF" w:rsidRDefault="00CF59EF">
      <w:pPr>
        <w:rPr>
          <w:rFonts w:eastAsia="Calibri"/>
          <w:sz w:val="22"/>
          <w:szCs w:val="22"/>
          <w:lang w:eastAsia="en-US"/>
        </w:rPr>
      </w:pPr>
    </w:p>
    <w:p w14:paraId="752A505F" w14:textId="77777777" w:rsidR="00CF59EF" w:rsidRDefault="000B5D37">
      <w:pPr>
        <w:rPr>
          <w:rFonts w:eastAsia="Calibri"/>
          <w:sz w:val="22"/>
          <w:szCs w:val="22"/>
          <w:lang w:eastAsia="en-US"/>
        </w:rPr>
      </w:pPr>
      <w:r>
        <w:rPr>
          <w:rFonts w:eastAsia="Calibri"/>
          <w:sz w:val="22"/>
          <w:szCs w:val="22"/>
          <w:lang w:eastAsia="en-US"/>
        </w:rPr>
        <w:t>ESD PT6: Emission scenario for calculating the release of preservatives used in non-professional detergents for fabric washing</w:t>
      </w:r>
    </w:p>
    <w:p w14:paraId="735A38DB" w14:textId="77777777" w:rsidR="00CF59EF" w:rsidRDefault="000B5D37">
      <w:pPr>
        <w:rPr>
          <w:rFonts w:eastAsia="Calibri"/>
          <w:sz w:val="22"/>
          <w:szCs w:val="22"/>
          <w:lang w:eastAsia="en-US"/>
        </w:rPr>
      </w:pPr>
      <w:r>
        <w:rPr>
          <w:noProof/>
          <w:lang w:val="nl-NL" w:eastAsia="nl-NL"/>
        </w:rPr>
        <w:drawing>
          <wp:inline distT="0" distB="5080" distL="0" distR="0" wp14:anchorId="000DBAE3" wp14:editId="29C73E1B">
            <wp:extent cx="5050155" cy="205295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pic:cNvPicPr>
                      <a:picLocks noChangeAspect="1" noChangeArrowheads="1"/>
                    </pic:cNvPicPr>
                  </pic:nvPicPr>
                  <pic:blipFill>
                    <a:blip r:embed="rId31"/>
                    <a:stretch>
                      <a:fillRect/>
                    </a:stretch>
                  </pic:blipFill>
                  <pic:spPr bwMode="auto">
                    <a:xfrm>
                      <a:off x="0" y="0"/>
                      <a:ext cx="5050155" cy="2052955"/>
                    </a:xfrm>
                    <a:prstGeom prst="rect">
                      <a:avLst/>
                    </a:prstGeom>
                  </pic:spPr>
                </pic:pic>
              </a:graphicData>
            </a:graphic>
          </wp:inline>
        </w:drawing>
      </w:r>
    </w:p>
    <w:p w14:paraId="67441C92" w14:textId="77777777" w:rsidR="00CF59EF" w:rsidRDefault="00CF59EF">
      <w:pPr>
        <w:rPr>
          <w:rFonts w:eastAsia="Calibri"/>
          <w:sz w:val="22"/>
          <w:szCs w:val="22"/>
          <w:lang w:eastAsia="en-US"/>
        </w:rPr>
      </w:pPr>
    </w:p>
    <w:p w14:paraId="3B090659" w14:textId="77777777" w:rsidR="00CF59EF" w:rsidRDefault="000B5D37">
      <w:pPr>
        <w:rPr>
          <w:rFonts w:eastAsia="Calibri"/>
          <w:caps/>
          <w:sz w:val="22"/>
          <w:szCs w:val="22"/>
          <w:lang w:eastAsia="en-US"/>
        </w:rPr>
      </w:pPr>
      <w:r>
        <w:rPr>
          <w:rFonts w:eastAsia="Calibri"/>
          <w:sz w:val="22"/>
          <w:szCs w:val="22"/>
          <w:lang w:eastAsia="en-US"/>
        </w:rPr>
        <w:t xml:space="preserve">ESD PT6: Emission scenario for calculating the release of preservatives used in non-professional detergents for dish washing </w:t>
      </w:r>
    </w:p>
    <w:p w14:paraId="64456117" w14:textId="77777777" w:rsidR="00CF59EF" w:rsidRDefault="000B5D37">
      <w:pPr>
        <w:rPr>
          <w:rFonts w:eastAsia="Calibri"/>
          <w:caps/>
          <w:sz w:val="22"/>
          <w:szCs w:val="22"/>
          <w:lang w:eastAsia="en-US"/>
        </w:rPr>
      </w:pPr>
      <w:r>
        <w:rPr>
          <w:noProof/>
          <w:lang w:val="nl-NL" w:eastAsia="nl-NL"/>
        </w:rPr>
        <w:drawing>
          <wp:inline distT="0" distB="6985" distL="0" distR="0" wp14:anchorId="5BA648A8" wp14:editId="153E3B03">
            <wp:extent cx="5050155" cy="1631315"/>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a:blip r:embed="rId32"/>
                    <a:stretch>
                      <a:fillRect/>
                    </a:stretch>
                  </pic:blipFill>
                  <pic:spPr bwMode="auto">
                    <a:xfrm>
                      <a:off x="0" y="0"/>
                      <a:ext cx="5050155" cy="1631315"/>
                    </a:xfrm>
                    <a:prstGeom prst="rect">
                      <a:avLst/>
                    </a:prstGeom>
                  </pic:spPr>
                </pic:pic>
              </a:graphicData>
            </a:graphic>
          </wp:inline>
        </w:drawing>
      </w:r>
      <w:r>
        <w:br w:type="page"/>
      </w:r>
    </w:p>
    <w:p w14:paraId="54AAAA9D" w14:textId="77777777" w:rsidR="00CF59EF" w:rsidRDefault="00CF59EF">
      <w:pPr>
        <w:rPr>
          <w:rFonts w:eastAsia="Calibri"/>
          <w:caps/>
          <w:sz w:val="22"/>
          <w:szCs w:val="22"/>
          <w:lang w:eastAsia="en-US"/>
        </w:rPr>
      </w:pPr>
    </w:p>
    <w:p w14:paraId="32601B28" w14:textId="77777777" w:rsidR="00CF59EF" w:rsidRDefault="000B5D37" w:rsidP="00CD3957">
      <w:pPr>
        <w:pStyle w:val="Heading2"/>
      </w:pPr>
      <w:bookmarkStart w:id="1855" w:name="_Toc403472829"/>
      <w:bookmarkStart w:id="1856" w:name="_Toc389729191"/>
      <w:bookmarkStart w:id="1857" w:name="_Toc531868684"/>
      <w:bookmarkEnd w:id="1855"/>
      <w:bookmarkEnd w:id="1856"/>
      <w:r>
        <w:t>New information on the active substance</w:t>
      </w:r>
      <w:bookmarkEnd w:id="1857"/>
    </w:p>
    <w:p w14:paraId="2BFEAA5E" w14:textId="77777777" w:rsidR="00CF59EF" w:rsidRDefault="000B5D37">
      <w:pPr>
        <w:rPr>
          <w:rFonts w:eastAsia="Calibri"/>
          <w:lang w:eastAsia="en-US"/>
        </w:rPr>
      </w:pPr>
      <w:r>
        <w:rPr>
          <w:rFonts w:eastAsia="Calibri"/>
          <w:lang w:eastAsia="en-US"/>
        </w:rPr>
        <w:t xml:space="preserve">Not applicable, as the active substance is included in Annex I of Regulation 528/2012/EC and no active substance dossier has previously been provided. </w:t>
      </w:r>
    </w:p>
    <w:p w14:paraId="63DAB402" w14:textId="77777777" w:rsidR="000D3A48" w:rsidRDefault="000D3A48">
      <w:pPr>
        <w:rPr>
          <w:rFonts w:eastAsia="Calibri"/>
          <w:lang w:eastAsia="en-US"/>
        </w:rPr>
      </w:pPr>
    </w:p>
    <w:p w14:paraId="5838A517" w14:textId="77777777" w:rsidR="00CF59EF" w:rsidRPr="006D35BB" w:rsidRDefault="000B5D37" w:rsidP="00CD3957">
      <w:pPr>
        <w:pStyle w:val="Heading2"/>
      </w:pPr>
      <w:bookmarkStart w:id="1858" w:name="_Toc403472830"/>
      <w:bookmarkStart w:id="1859" w:name="_Toc389729192"/>
      <w:bookmarkStart w:id="1860" w:name="_Toc531868685"/>
      <w:bookmarkEnd w:id="1858"/>
      <w:bookmarkEnd w:id="1859"/>
      <w:r w:rsidRPr="006D35BB">
        <w:t>Residue behaviour</w:t>
      </w:r>
      <w:bookmarkEnd w:id="1860"/>
    </w:p>
    <w:p w14:paraId="10224092" w14:textId="77777777" w:rsidR="00DF4B22" w:rsidRDefault="00DF4B22" w:rsidP="00DF4B22">
      <w:pPr>
        <w:spacing w:line="260" w:lineRule="atLeast"/>
        <w:rPr>
          <w:rFonts w:eastAsia="Calibri"/>
          <w:iCs/>
          <w:lang w:eastAsia="en-US"/>
        </w:rPr>
      </w:pPr>
      <w:r w:rsidRPr="00DF4B22">
        <w:rPr>
          <w:rFonts w:eastAsia="Calibri"/>
          <w:iCs/>
          <w:lang w:eastAsia="en-US"/>
        </w:rPr>
        <w:t>The maximum level (ML) for</w:t>
      </w:r>
      <w:r w:rsidR="00EB287D">
        <w:rPr>
          <w:rFonts w:eastAsia="Calibri"/>
          <w:iCs/>
          <w:lang w:eastAsia="en-US"/>
        </w:rPr>
        <w:t xml:space="preserve"> </w:t>
      </w:r>
      <w:r w:rsidRPr="00DF4B22">
        <w:rPr>
          <w:rFonts w:eastAsia="Calibri"/>
          <w:iCs/>
          <w:lang w:eastAsia="en-US"/>
        </w:rPr>
        <w:t>sodium benzoate as food additive E 211 is set to</w:t>
      </w:r>
      <w:r>
        <w:rPr>
          <w:rFonts w:eastAsia="Calibri"/>
          <w:iCs/>
          <w:lang w:eastAsia="en-US"/>
        </w:rPr>
        <w:t xml:space="preserve"> </w:t>
      </w:r>
      <w:r w:rsidRPr="00DF4B22">
        <w:rPr>
          <w:rFonts w:eastAsia="Calibri"/>
          <w:iCs/>
          <w:lang w:eastAsia="en-US"/>
        </w:rPr>
        <w:t>be 150 – 5000 mg/kg  depending on food commodity, according to EU database on Food Additives (https://webgate.ec.europa.eu/foods_system/main/)</w:t>
      </w:r>
      <w:r>
        <w:rPr>
          <w:rFonts w:eastAsia="Calibri"/>
          <w:iCs/>
          <w:lang w:eastAsia="en-US"/>
        </w:rPr>
        <w:t>.</w:t>
      </w:r>
    </w:p>
    <w:p w14:paraId="0D13D305" w14:textId="77777777" w:rsidR="000D3A48" w:rsidRDefault="000D3A48">
      <w:pPr>
        <w:rPr>
          <w:rFonts w:eastAsia="Calibri"/>
          <w:lang w:val="en-US" w:eastAsia="en-US"/>
        </w:rPr>
      </w:pPr>
    </w:p>
    <w:p w14:paraId="4C932036" w14:textId="77777777" w:rsidR="00CF59EF" w:rsidRDefault="000B5D37" w:rsidP="00CD3957">
      <w:pPr>
        <w:pStyle w:val="Heading2"/>
      </w:pPr>
      <w:bookmarkStart w:id="1861" w:name="_Toc403472831"/>
      <w:bookmarkStart w:id="1862" w:name="_Toc389729193"/>
      <w:bookmarkStart w:id="1863" w:name="_Toc531868686"/>
      <w:r>
        <w:t>Summaries of the efficacy studies (B.5.10.1-xx)</w:t>
      </w:r>
      <w:bookmarkEnd w:id="1861"/>
      <w:bookmarkEnd w:id="1862"/>
      <w:bookmarkEnd w:id="1863"/>
    </w:p>
    <w:p w14:paraId="434796B4" w14:textId="77777777" w:rsidR="00CF59EF" w:rsidRDefault="000B5D37">
      <w:pPr>
        <w:rPr>
          <w:rStyle w:val="Strong"/>
          <w:rFonts w:eastAsia="Calibri"/>
          <w:b w:val="0"/>
        </w:rPr>
      </w:pPr>
      <w:r>
        <w:rPr>
          <w:rStyle w:val="Strong"/>
          <w:rFonts w:eastAsia="Calibri"/>
          <w:b w:val="0"/>
        </w:rPr>
        <w:t>Please refer to the IUCLID file of the biocidal product.</w:t>
      </w:r>
    </w:p>
    <w:p w14:paraId="2C6D3E20" w14:textId="77777777" w:rsidR="003E6AC4" w:rsidRDefault="003E6AC4">
      <w:pPr>
        <w:rPr>
          <w:rStyle w:val="Strong"/>
          <w:rFonts w:eastAsia="Calibri"/>
          <w:b w:val="0"/>
        </w:rPr>
      </w:pPr>
    </w:p>
    <w:p w14:paraId="75F51715" w14:textId="77777777" w:rsidR="00CF59EF" w:rsidRDefault="000B5D37" w:rsidP="00CD3957">
      <w:pPr>
        <w:pStyle w:val="Heading2"/>
        <w:rPr>
          <w:lang w:val="de-DE"/>
        </w:rPr>
      </w:pPr>
      <w:bookmarkStart w:id="1864" w:name="_Toc403472832"/>
      <w:bookmarkStart w:id="1865" w:name="_Toc389729199"/>
      <w:bookmarkStart w:id="1866" w:name="_Toc531868687"/>
      <w:proofErr w:type="spellStart"/>
      <w:r>
        <w:rPr>
          <w:lang w:val="de-DE"/>
        </w:rPr>
        <w:t>Confidential</w:t>
      </w:r>
      <w:proofErr w:type="spellEnd"/>
      <w:r>
        <w:rPr>
          <w:lang w:val="de-DE"/>
        </w:rPr>
        <w:t xml:space="preserve"> </w:t>
      </w:r>
      <w:proofErr w:type="spellStart"/>
      <w:r>
        <w:rPr>
          <w:lang w:val="de-DE"/>
        </w:rPr>
        <w:t>annex</w:t>
      </w:r>
      <w:bookmarkEnd w:id="1864"/>
      <w:bookmarkEnd w:id="1865"/>
      <w:bookmarkEnd w:id="1866"/>
      <w:proofErr w:type="spellEnd"/>
      <w:r>
        <w:rPr>
          <w:lang w:val="de-DE"/>
        </w:rPr>
        <w:t xml:space="preserve"> </w:t>
      </w:r>
    </w:p>
    <w:p w14:paraId="56836914" w14:textId="77777777" w:rsidR="00150772" w:rsidRPr="003E6AC4" w:rsidRDefault="00150772" w:rsidP="00150772">
      <w:pPr>
        <w:rPr>
          <w:rStyle w:val="Strong"/>
          <w:rFonts w:eastAsia="Calibri"/>
          <w:b w:val="0"/>
        </w:rPr>
      </w:pPr>
      <w:r>
        <w:rPr>
          <w:rStyle w:val="Strong"/>
          <w:rFonts w:eastAsia="Calibri"/>
          <w:b w:val="0"/>
        </w:rPr>
        <w:t>We</w:t>
      </w:r>
      <w:r w:rsidRPr="003E6AC4">
        <w:rPr>
          <w:rStyle w:val="Strong"/>
          <w:rFonts w:eastAsia="Calibri"/>
          <w:b w:val="0"/>
        </w:rPr>
        <w:t xml:space="preserve"> refer to the separate document.</w:t>
      </w:r>
    </w:p>
    <w:p w14:paraId="0A630633" w14:textId="77777777" w:rsidR="00EB287D" w:rsidRDefault="00EB287D" w:rsidP="00EB287D"/>
    <w:p w14:paraId="13F19584" w14:textId="77777777" w:rsidR="00150772" w:rsidRDefault="00150772" w:rsidP="00CD3957">
      <w:pPr>
        <w:pStyle w:val="Heading2"/>
        <w:rPr>
          <w:lang w:val="de-DE"/>
        </w:rPr>
      </w:pPr>
      <w:bookmarkStart w:id="1867" w:name="_Toc531868688"/>
      <w:r>
        <w:rPr>
          <w:lang w:val="de-DE"/>
        </w:rPr>
        <w:t>Other</w:t>
      </w:r>
      <w:bookmarkEnd w:id="1867"/>
    </w:p>
    <w:p w14:paraId="3601AB44" w14:textId="77777777" w:rsidR="00CF59EF" w:rsidRDefault="00CF59EF">
      <w:pPr>
        <w:pStyle w:val="Absatz"/>
        <w:ind w:left="0"/>
        <w:rPr>
          <w:lang w:val="de-DE" w:eastAsia="en-US"/>
        </w:rPr>
      </w:pPr>
    </w:p>
    <w:p w14:paraId="79142006" w14:textId="77777777" w:rsidR="006D63EC" w:rsidRDefault="006F3719" w:rsidP="006D63EC">
      <w:r>
        <w:rPr>
          <w:rFonts w:eastAsia="Calibri"/>
          <w:lang w:eastAsia="en-US"/>
        </w:rPr>
        <w:t>Not applicable.</w:t>
      </w:r>
    </w:p>
    <w:p w14:paraId="141D7B98" w14:textId="77777777" w:rsidR="00150772" w:rsidRDefault="00150772" w:rsidP="00150772"/>
    <w:p w14:paraId="4A1B41F9" w14:textId="77777777" w:rsidR="00150772" w:rsidRDefault="00150772"/>
    <w:p w14:paraId="12BEB970" w14:textId="77777777" w:rsidR="00150772" w:rsidRDefault="00150772"/>
    <w:p w14:paraId="39DCB835" w14:textId="77777777" w:rsidR="009073D3" w:rsidRDefault="009073D3">
      <w:pPr>
        <w:rPr>
          <w:rFonts w:ascii="Times New Roman" w:eastAsia="Calibri" w:hAnsi="Times New Roman"/>
          <w:sz w:val="24"/>
          <w:szCs w:val="24"/>
          <w:lang w:eastAsia="en-US"/>
        </w:rPr>
      </w:pPr>
    </w:p>
    <w:p w14:paraId="63939DC5" w14:textId="77777777" w:rsidR="00150772" w:rsidRPr="00150772" w:rsidRDefault="00150772" w:rsidP="00150772">
      <w:pPr>
        <w:autoSpaceDE w:val="0"/>
        <w:autoSpaceDN w:val="0"/>
        <w:adjustRightInd w:val="0"/>
        <w:spacing w:before="60" w:after="60"/>
        <w:rPr>
          <w:rFonts w:ascii="Times New Roman" w:hAnsi="Times New Roman"/>
          <w:color w:val="000000"/>
          <w:sz w:val="24"/>
          <w:szCs w:val="24"/>
          <w:lang w:val="en-US" w:eastAsia="en-US"/>
        </w:rPr>
      </w:pPr>
    </w:p>
    <w:sectPr w:rsidR="00150772" w:rsidRPr="00150772">
      <w:headerReference w:type="default" r:id="rId33"/>
      <w:footerReference w:type="default" r:id="rId34"/>
      <w:pgSz w:w="11906" w:h="16838"/>
      <w:pgMar w:top="2013" w:right="1446" w:bottom="1474" w:left="1247" w:header="850" w:footer="850"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EC6E" w14:textId="77777777" w:rsidR="00980D14" w:rsidRDefault="00980D14">
      <w:r>
        <w:separator/>
      </w:r>
    </w:p>
  </w:endnote>
  <w:endnote w:type="continuationSeparator" w:id="0">
    <w:p w14:paraId="5730A6CC" w14:textId="77777777" w:rsidR="00980D14" w:rsidRDefault="009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Yu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UnicodeMS">
    <w:altName w:val="Times New Roman"/>
    <w:charset w:val="00"/>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A2BA"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4</w:t>
    </w:r>
    <w:r>
      <w:fldChar w:fldCharType="end"/>
    </w:r>
  </w:p>
  <w:p w14:paraId="28627C42" w14:textId="77777777" w:rsidR="00980D14" w:rsidRDefault="0098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F167"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28</w:t>
    </w:r>
    <w:r>
      <w:fldChar w:fldCharType="end"/>
    </w:r>
  </w:p>
  <w:p w14:paraId="1BCEC720" w14:textId="77777777" w:rsidR="00980D14" w:rsidRDefault="00980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D80B"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33</w:t>
    </w:r>
    <w:r>
      <w:fldChar w:fldCharType="end"/>
    </w:r>
  </w:p>
  <w:p w14:paraId="435C0882" w14:textId="77777777" w:rsidR="00980D14" w:rsidRDefault="00980D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C5E9"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50</w:t>
    </w:r>
    <w:r>
      <w:fldChar w:fldCharType="end"/>
    </w:r>
  </w:p>
  <w:p w14:paraId="7686491E" w14:textId="77777777" w:rsidR="00980D14" w:rsidRDefault="00980D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6F1"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80</w:t>
    </w:r>
    <w:r>
      <w:fldChar w:fldCharType="end"/>
    </w:r>
  </w:p>
  <w:p w14:paraId="2E2B5971" w14:textId="77777777" w:rsidR="00980D14" w:rsidRDefault="00980D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94B4" w14:textId="77777777" w:rsidR="00980D14" w:rsidRDefault="00980D14">
    <w:pPr>
      <w:pStyle w:val="Footer"/>
      <w:jc w:val="right"/>
    </w:pPr>
    <w:r>
      <w:rPr>
        <w:rFonts w:ascii="Verdana" w:hAnsi="Verdana"/>
        <w:sz w:val="18"/>
      </w:rPr>
      <w:fldChar w:fldCharType="begin"/>
    </w:r>
    <w:r>
      <w:instrText>PAGE</w:instrText>
    </w:r>
    <w:r>
      <w:fldChar w:fldCharType="separate"/>
    </w:r>
    <w:r>
      <w:rPr>
        <w:noProof/>
      </w:rPr>
      <w:t>108</w:t>
    </w:r>
    <w:r>
      <w:fldChar w:fldCharType="end"/>
    </w:r>
  </w:p>
  <w:p w14:paraId="36C5967B" w14:textId="77777777" w:rsidR="00980D14" w:rsidRDefault="0098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FC99" w14:textId="77777777" w:rsidR="00980D14" w:rsidRDefault="00980D14">
      <w:r>
        <w:separator/>
      </w:r>
    </w:p>
  </w:footnote>
  <w:footnote w:type="continuationSeparator" w:id="0">
    <w:p w14:paraId="1BEAF0E8" w14:textId="77777777" w:rsidR="00980D14" w:rsidRDefault="00980D14">
      <w:r>
        <w:continuationSeparator/>
      </w:r>
    </w:p>
  </w:footnote>
  <w:footnote w:id="1">
    <w:p w14:paraId="0ED525BA" w14:textId="77777777" w:rsidR="00980D14" w:rsidRDefault="00980D14">
      <w:pPr>
        <w:pStyle w:val="FootnoteText"/>
      </w:pPr>
      <w:r>
        <w:rPr>
          <w:rStyle w:val="FootnoteReference"/>
        </w:rPr>
        <w:footnoteRef/>
      </w:r>
      <w:r>
        <w:rPr>
          <w:rStyle w:val="FootnoteReference"/>
        </w:rPr>
        <w:tab/>
      </w:r>
      <w:r>
        <w:t xml:space="preserve"> </w:t>
      </w:r>
      <w:r>
        <w:rPr>
          <w:sz w:val="16"/>
          <w:szCs w:val="16"/>
        </w:rPr>
        <w:t xml:space="preserve">Please fill in here the identifying product name from R4BP.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1276"/>
      <w:gridCol w:w="5528"/>
      <w:gridCol w:w="2552"/>
    </w:tblGrid>
    <w:tr w:rsidR="00980D14" w14:paraId="36BE9126" w14:textId="77777777">
      <w:tc>
        <w:tcPr>
          <w:tcW w:w="1276" w:type="dxa"/>
          <w:tcBorders>
            <w:bottom w:val="single" w:sz="4" w:space="0" w:color="000001"/>
          </w:tcBorders>
          <w:shd w:val="clear" w:color="auto" w:fill="auto"/>
          <w:vAlign w:val="center"/>
        </w:tcPr>
        <w:p w14:paraId="25FE0C6D" w14:textId="77777777" w:rsidR="00980D14" w:rsidRDefault="00980D14">
          <w:pPr>
            <w:widowControl w:val="0"/>
            <w:jc w:val="center"/>
            <w:rPr>
              <w:rFonts w:cs="Times"/>
              <w:sz w:val="18"/>
              <w:szCs w:val="18"/>
            </w:rPr>
          </w:pPr>
          <w:r>
            <w:rPr>
              <w:rFonts w:cs="Times"/>
              <w:color w:val="000000"/>
              <w:sz w:val="18"/>
              <w:szCs w:val="18"/>
            </w:rPr>
            <w:t>NL</w:t>
          </w:r>
        </w:p>
      </w:tc>
      <w:tc>
        <w:tcPr>
          <w:tcW w:w="5528" w:type="dxa"/>
          <w:tcBorders>
            <w:bottom w:val="single" w:sz="4" w:space="0" w:color="000001"/>
          </w:tcBorders>
          <w:shd w:val="clear" w:color="auto" w:fill="auto"/>
          <w:vAlign w:val="center"/>
        </w:tcPr>
        <w:p w14:paraId="1E2F6DD8" w14:textId="77777777" w:rsidR="00980D14" w:rsidRDefault="00980D14">
          <w:pPr>
            <w:widowControl w:val="0"/>
            <w:jc w:val="center"/>
            <w:rPr>
              <w:rFonts w:cs="Times"/>
              <w:sz w:val="18"/>
              <w:szCs w:val="18"/>
            </w:rPr>
          </w:pPr>
          <w:proofErr w:type="spellStart"/>
          <w:r>
            <w:rPr>
              <w:rFonts w:cs="Times"/>
              <w:color w:val="000000"/>
              <w:sz w:val="18"/>
              <w:szCs w:val="18"/>
            </w:rPr>
            <w:t>Purox</w:t>
          </w:r>
          <w:proofErr w:type="spellEnd"/>
          <w:r>
            <w:rPr>
              <w:rFonts w:cs="Times"/>
              <w:color w:val="000000"/>
              <w:sz w:val="18"/>
              <w:szCs w:val="18"/>
            </w:rPr>
            <w:t xml:space="preserve"> Clean</w:t>
          </w:r>
        </w:p>
      </w:tc>
      <w:tc>
        <w:tcPr>
          <w:tcW w:w="2552" w:type="dxa"/>
          <w:tcBorders>
            <w:bottom w:val="single" w:sz="4" w:space="0" w:color="000001"/>
          </w:tcBorders>
          <w:shd w:val="clear" w:color="auto" w:fill="auto"/>
          <w:vAlign w:val="center"/>
        </w:tcPr>
        <w:p w14:paraId="1C95B7F2" w14:textId="77777777" w:rsidR="00980D14" w:rsidRDefault="00980D14">
          <w:pPr>
            <w:widowControl w:val="0"/>
            <w:jc w:val="center"/>
            <w:rPr>
              <w:rFonts w:cs="Times"/>
              <w:sz w:val="18"/>
              <w:szCs w:val="18"/>
            </w:rPr>
          </w:pPr>
          <w:r>
            <w:rPr>
              <w:rFonts w:cs="Times"/>
              <w:color w:val="000000"/>
              <w:sz w:val="18"/>
              <w:szCs w:val="18"/>
            </w:rPr>
            <w:t>PT6</w:t>
          </w:r>
        </w:p>
      </w:tc>
    </w:tr>
  </w:tbl>
  <w:p w14:paraId="47D332E9" w14:textId="77777777" w:rsidR="00980D14" w:rsidRDefault="0098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FF1A" w14:textId="77777777" w:rsidR="00980D14" w:rsidRDefault="00980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F2C9" w14:textId="77777777" w:rsidR="00980D14" w:rsidRDefault="00980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BAA3" w14:textId="77777777" w:rsidR="00980D14" w:rsidRDefault="00980D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F75A" w14:textId="77777777" w:rsidR="00980D14" w:rsidRDefault="00980D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432D" w14:textId="77777777" w:rsidR="00980D14" w:rsidRDefault="0098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708"/>
    <w:multiLevelType w:val="hybridMultilevel"/>
    <w:tmpl w:val="F4920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66812"/>
    <w:multiLevelType w:val="multilevel"/>
    <w:tmpl w:val="4C3ABDB2"/>
    <w:lvl w:ilvl="0">
      <w:start w:val="1"/>
      <w:numFmt w:val="decimal"/>
      <w:lvlText w:val="%1."/>
      <w:lvlJc w:val="left"/>
      <w:pPr>
        <w:ind w:left="360" w:hanging="360"/>
      </w:pPr>
      <w:rPr>
        <w:rFonts w:cs="Times New Roman"/>
        <w:b/>
        <w:bCs w:val="0"/>
        <w:i w:val="0"/>
        <w:iCs w:val="0"/>
        <w:caps w:val="0"/>
        <w:smallCaps w:val="0"/>
        <w:strike w:val="0"/>
        <w:dstrike w:val="0"/>
        <w:vanish w:val="0"/>
        <w:color w:val="000000"/>
        <w:spacing w:val="0"/>
        <w:position w:val="0"/>
        <w:sz w:val="28"/>
        <w:szCs w:val="28"/>
        <w:u w:val="none"/>
        <w:effect w:val="none"/>
        <w:vertAlign w:val="baseline"/>
        <w:em w:val="none"/>
        <w:lang w:bidi="x-none"/>
      </w:rPr>
    </w:lvl>
    <w:lvl w:ilvl="1">
      <w:start w:val="1"/>
      <w:numFmt w:val="decimal"/>
      <w:pStyle w:val="Heading2"/>
      <w:lvlText w:val="%1.%2"/>
      <w:lvlJc w:val="left"/>
      <w:pPr>
        <w:ind w:left="860" w:hanging="576"/>
      </w:pPr>
      <w:rPr>
        <w:b/>
        <w:sz w:val="24"/>
        <w:lang w:val="en-GB"/>
      </w:rPr>
    </w:lvl>
    <w:lvl w:ilvl="2">
      <w:start w:val="1"/>
      <w:numFmt w:val="decimal"/>
      <w:lvlText w:val="%1.%2.%3"/>
      <w:lvlJc w:val="left"/>
      <w:pPr>
        <w:ind w:left="5681" w:hanging="720"/>
      </w:pPr>
      <w:rPr>
        <w:b/>
        <w:sz w:val="20"/>
        <w:szCs w:val="20"/>
      </w:rPr>
    </w:lvl>
    <w:lvl w:ilvl="3">
      <w:start w:val="1"/>
      <w:numFmt w:val="decimal"/>
      <w:pStyle w:val="Heading3"/>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553120C"/>
    <w:multiLevelType w:val="hybridMultilevel"/>
    <w:tmpl w:val="D1F2B47A"/>
    <w:lvl w:ilvl="0" w:tplc="1EBEE326">
      <w:start w:val="3"/>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5A217CA4"/>
    <w:multiLevelType w:val="multilevel"/>
    <w:tmpl w:val="C18A5D58"/>
    <w:lvl w:ilvl="0">
      <w:start w:val="1"/>
      <w:numFmt w:val="decimal"/>
      <w:pStyle w:val="Heading1"/>
      <w:lvlText w:val="%1."/>
      <w:lvlJc w:val="left"/>
      <w:pPr>
        <w:ind w:left="360" w:hanging="360"/>
      </w:pPr>
      <w:rPr>
        <w:rFonts w:cs="Times New Roman"/>
        <w:b w:val="0"/>
        <w:bCs w:val="0"/>
        <w:i w:val="0"/>
        <w:iCs w:val="0"/>
        <w:caps w:val="0"/>
        <w:smallCaps w:val="0"/>
        <w:strike w:val="0"/>
        <w:dstrike w:val="0"/>
        <w:vanish w:val="0"/>
        <w:color w:val="000000"/>
        <w:spacing w:val="0"/>
        <w:position w:val="0"/>
        <w:sz w:val="20"/>
        <w:u w:val="none"/>
        <w:effect w:val="none"/>
        <w:vertAlign w:val="baseline"/>
        <w:em w:val="none"/>
        <w:lang w:bidi="x-none"/>
      </w:rPr>
    </w:lvl>
    <w:lvl w:ilvl="1">
      <w:start w:val="1"/>
      <w:numFmt w:val="decimal"/>
      <w:lvlText w:val="%1.%2"/>
      <w:lvlJc w:val="left"/>
      <w:pPr>
        <w:ind w:left="860" w:hanging="576"/>
      </w:pPr>
      <w:rPr>
        <w:b/>
        <w:sz w:val="24"/>
        <w:lang w:val="de-DE"/>
      </w:rPr>
    </w:lvl>
    <w:lvl w:ilvl="2">
      <w:start w:val="1"/>
      <w:numFmt w:val="decimal"/>
      <w:lvlText w:val="%1.%2.%3"/>
      <w:lvlJc w:val="left"/>
      <w:pPr>
        <w:ind w:left="5681" w:hanging="720"/>
      </w:pPr>
    </w:lvl>
    <w:lvl w:ilvl="3">
      <w:start w:val="1"/>
      <w:numFmt w:val="none"/>
      <w:suff w:val="nothing"/>
      <w:lvlText w:val=""/>
      <w:lvlJc w:val="left"/>
      <w:pPr>
        <w:ind w:left="0" w:firstLine="0"/>
      </w:pPr>
    </w:lvl>
    <w:lvl w:ilvl="4">
      <w:start w:val="1"/>
      <w:numFmt w:val="decimal"/>
      <w:pStyle w:val="Heading5"/>
      <w:lvlText w:val="%1.%2.%3.%5"/>
      <w:lvlJc w:val="left"/>
      <w:pPr>
        <w:ind w:left="1008" w:hanging="1008"/>
      </w:pPr>
    </w:lvl>
    <w:lvl w:ilvl="5">
      <w:start w:val="1"/>
      <w:numFmt w:val="decimal"/>
      <w:pStyle w:val="Heading6"/>
      <w:lvlText w:val="%1.%2.%3.%5.%6"/>
      <w:lvlJc w:val="left"/>
      <w:pPr>
        <w:ind w:left="1152" w:hanging="1152"/>
      </w:pPr>
    </w:lvl>
    <w:lvl w:ilvl="6">
      <w:start w:val="1"/>
      <w:numFmt w:val="decimal"/>
      <w:pStyle w:val="Heading7"/>
      <w:lvlText w:val="%1.%2.%3.%5.%6.%7"/>
      <w:lvlJc w:val="left"/>
      <w:pPr>
        <w:ind w:left="1296" w:hanging="1296"/>
      </w:pPr>
    </w:lvl>
    <w:lvl w:ilvl="7">
      <w:start w:val="1"/>
      <w:numFmt w:val="decimal"/>
      <w:pStyle w:val="Heading8"/>
      <w:lvlText w:val="%1.%2.%3.%5.%6.%7.%8"/>
      <w:lvlJc w:val="left"/>
      <w:pPr>
        <w:ind w:left="1440" w:hanging="1440"/>
      </w:pPr>
    </w:lvl>
    <w:lvl w:ilvl="8">
      <w:start w:val="1"/>
      <w:numFmt w:val="decimal"/>
      <w:pStyle w:val="Heading9"/>
      <w:lvlText w:val="%1.%2.%3.%5.%6.%7.%8.%9"/>
      <w:lvlJc w:val="left"/>
      <w:pPr>
        <w:ind w:left="1584" w:hanging="1584"/>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oNotTrackFormatting/>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EF"/>
    <w:rsid w:val="000008A9"/>
    <w:rsid w:val="00000A17"/>
    <w:rsid w:val="0000266B"/>
    <w:rsid w:val="0000502D"/>
    <w:rsid w:val="00005694"/>
    <w:rsid w:val="00010803"/>
    <w:rsid w:val="00012B7A"/>
    <w:rsid w:val="00017D84"/>
    <w:rsid w:val="00017D8F"/>
    <w:rsid w:val="00020333"/>
    <w:rsid w:val="00020F61"/>
    <w:rsid w:val="00030391"/>
    <w:rsid w:val="00031DCE"/>
    <w:rsid w:val="00033638"/>
    <w:rsid w:val="00033A14"/>
    <w:rsid w:val="00034DF1"/>
    <w:rsid w:val="00035748"/>
    <w:rsid w:val="00046EB4"/>
    <w:rsid w:val="0004759A"/>
    <w:rsid w:val="00047C8C"/>
    <w:rsid w:val="000516D9"/>
    <w:rsid w:val="00053DE1"/>
    <w:rsid w:val="00056F47"/>
    <w:rsid w:val="0006344C"/>
    <w:rsid w:val="00063BE4"/>
    <w:rsid w:val="00064888"/>
    <w:rsid w:val="00070C43"/>
    <w:rsid w:val="00070C64"/>
    <w:rsid w:val="00074D9D"/>
    <w:rsid w:val="00075554"/>
    <w:rsid w:val="000826D3"/>
    <w:rsid w:val="00084A8D"/>
    <w:rsid w:val="00085D16"/>
    <w:rsid w:val="00087CE7"/>
    <w:rsid w:val="0009356A"/>
    <w:rsid w:val="00094C2E"/>
    <w:rsid w:val="000A18EB"/>
    <w:rsid w:val="000A2C23"/>
    <w:rsid w:val="000A3000"/>
    <w:rsid w:val="000A3DC1"/>
    <w:rsid w:val="000A50FE"/>
    <w:rsid w:val="000B16EE"/>
    <w:rsid w:val="000B5D37"/>
    <w:rsid w:val="000C501E"/>
    <w:rsid w:val="000C50EF"/>
    <w:rsid w:val="000C51A9"/>
    <w:rsid w:val="000C673F"/>
    <w:rsid w:val="000C7149"/>
    <w:rsid w:val="000D1D6E"/>
    <w:rsid w:val="000D3A48"/>
    <w:rsid w:val="000D78B1"/>
    <w:rsid w:val="000E1026"/>
    <w:rsid w:val="000E13FE"/>
    <w:rsid w:val="000E170C"/>
    <w:rsid w:val="000E3394"/>
    <w:rsid w:val="000E3843"/>
    <w:rsid w:val="000E3A87"/>
    <w:rsid w:val="000E64AA"/>
    <w:rsid w:val="000F1F3D"/>
    <w:rsid w:val="000F29EB"/>
    <w:rsid w:val="000F4452"/>
    <w:rsid w:val="000F5E2D"/>
    <w:rsid w:val="000F5EBE"/>
    <w:rsid w:val="001017A9"/>
    <w:rsid w:val="00101CC0"/>
    <w:rsid w:val="001026D5"/>
    <w:rsid w:val="00107103"/>
    <w:rsid w:val="00107787"/>
    <w:rsid w:val="00111251"/>
    <w:rsid w:val="001158FA"/>
    <w:rsid w:val="001165A4"/>
    <w:rsid w:val="001200F6"/>
    <w:rsid w:val="00121190"/>
    <w:rsid w:val="00122D55"/>
    <w:rsid w:val="00124E79"/>
    <w:rsid w:val="00126C09"/>
    <w:rsid w:val="00127A11"/>
    <w:rsid w:val="00130A1D"/>
    <w:rsid w:val="0013171B"/>
    <w:rsid w:val="00131D42"/>
    <w:rsid w:val="00132530"/>
    <w:rsid w:val="0013707B"/>
    <w:rsid w:val="00142559"/>
    <w:rsid w:val="00143734"/>
    <w:rsid w:val="00143EA0"/>
    <w:rsid w:val="0014506D"/>
    <w:rsid w:val="00146B78"/>
    <w:rsid w:val="00150338"/>
    <w:rsid w:val="00150772"/>
    <w:rsid w:val="001514FA"/>
    <w:rsid w:val="001546FA"/>
    <w:rsid w:val="00154F5B"/>
    <w:rsid w:val="001649C7"/>
    <w:rsid w:val="00165678"/>
    <w:rsid w:val="00166FFD"/>
    <w:rsid w:val="00170DA6"/>
    <w:rsid w:val="00171023"/>
    <w:rsid w:val="00172388"/>
    <w:rsid w:val="00172945"/>
    <w:rsid w:val="00175D2E"/>
    <w:rsid w:val="00180DCA"/>
    <w:rsid w:val="00184B79"/>
    <w:rsid w:val="00186708"/>
    <w:rsid w:val="00187B92"/>
    <w:rsid w:val="001A37C7"/>
    <w:rsid w:val="001B5DD9"/>
    <w:rsid w:val="001B7BC8"/>
    <w:rsid w:val="001C1AB4"/>
    <w:rsid w:val="001C23F6"/>
    <w:rsid w:val="001C3241"/>
    <w:rsid w:val="001C32E0"/>
    <w:rsid w:val="001C6CB7"/>
    <w:rsid w:val="001D69C6"/>
    <w:rsid w:val="001E1B8A"/>
    <w:rsid w:val="001E41F4"/>
    <w:rsid w:val="001E54DA"/>
    <w:rsid w:val="001E63CB"/>
    <w:rsid w:val="001E7462"/>
    <w:rsid w:val="001F1CB8"/>
    <w:rsid w:val="001F3064"/>
    <w:rsid w:val="001F6ED0"/>
    <w:rsid w:val="002002AB"/>
    <w:rsid w:val="0020091E"/>
    <w:rsid w:val="0022047D"/>
    <w:rsid w:val="00220791"/>
    <w:rsid w:val="0022193E"/>
    <w:rsid w:val="00221EE3"/>
    <w:rsid w:val="00224331"/>
    <w:rsid w:val="002246FC"/>
    <w:rsid w:val="00224E55"/>
    <w:rsid w:val="00225BBE"/>
    <w:rsid w:val="0023265F"/>
    <w:rsid w:val="00237E35"/>
    <w:rsid w:val="00240FB8"/>
    <w:rsid w:val="00244210"/>
    <w:rsid w:val="002453E4"/>
    <w:rsid w:val="00245FA7"/>
    <w:rsid w:val="00252148"/>
    <w:rsid w:val="00261682"/>
    <w:rsid w:val="002646B0"/>
    <w:rsid w:val="00270133"/>
    <w:rsid w:val="002730C8"/>
    <w:rsid w:val="002738FF"/>
    <w:rsid w:val="0027413A"/>
    <w:rsid w:val="00276498"/>
    <w:rsid w:val="00277159"/>
    <w:rsid w:val="002838C1"/>
    <w:rsid w:val="00284A8C"/>
    <w:rsid w:val="00285063"/>
    <w:rsid w:val="00296539"/>
    <w:rsid w:val="002A0553"/>
    <w:rsid w:val="002B51D8"/>
    <w:rsid w:val="002B69FD"/>
    <w:rsid w:val="002C30D1"/>
    <w:rsid w:val="002C5372"/>
    <w:rsid w:val="002D308F"/>
    <w:rsid w:val="002D52F5"/>
    <w:rsid w:val="002D68D7"/>
    <w:rsid w:val="002E08A4"/>
    <w:rsid w:val="002E0DEB"/>
    <w:rsid w:val="002E18E9"/>
    <w:rsid w:val="002F0DC6"/>
    <w:rsid w:val="002F2109"/>
    <w:rsid w:val="002F3FE0"/>
    <w:rsid w:val="002F4C58"/>
    <w:rsid w:val="00300FA5"/>
    <w:rsid w:val="0030336C"/>
    <w:rsid w:val="00304DF1"/>
    <w:rsid w:val="00306980"/>
    <w:rsid w:val="003075A8"/>
    <w:rsid w:val="00313A4E"/>
    <w:rsid w:val="00316C15"/>
    <w:rsid w:val="003177EC"/>
    <w:rsid w:val="00317ACA"/>
    <w:rsid w:val="00325C61"/>
    <w:rsid w:val="00325F56"/>
    <w:rsid w:val="00330D88"/>
    <w:rsid w:val="003352F3"/>
    <w:rsid w:val="003464A1"/>
    <w:rsid w:val="003571D5"/>
    <w:rsid w:val="00357C91"/>
    <w:rsid w:val="003640C8"/>
    <w:rsid w:val="00366681"/>
    <w:rsid w:val="00366ECA"/>
    <w:rsid w:val="00370805"/>
    <w:rsid w:val="003736A5"/>
    <w:rsid w:val="0037490A"/>
    <w:rsid w:val="00385346"/>
    <w:rsid w:val="00393A6C"/>
    <w:rsid w:val="00394900"/>
    <w:rsid w:val="00394A31"/>
    <w:rsid w:val="00394E43"/>
    <w:rsid w:val="003952FE"/>
    <w:rsid w:val="00395F88"/>
    <w:rsid w:val="003A0759"/>
    <w:rsid w:val="003A0BA5"/>
    <w:rsid w:val="003A5B73"/>
    <w:rsid w:val="003A6032"/>
    <w:rsid w:val="003B4265"/>
    <w:rsid w:val="003B53A7"/>
    <w:rsid w:val="003B6A90"/>
    <w:rsid w:val="003C041C"/>
    <w:rsid w:val="003C13EF"/>
    <w:rsid w:val="003C7149"/>
    <w:rsid w:val="003D6E34"/>
    <w:rsid w:val="003E0E9A"/>
    <w:rsid w:val="003E2A78"/>
    <w:rsid w:val="003E4E55"/>
    <w:rsid w:val="003E6AC4"/>
    <w:rsid w:val="003F035F"/>
    <w:rsid w:val="003F660A"/>
    <w:rsid w:val="003F6921"/>
    <w:rsid w:val="003F7159"/>
    <w:rsid w:val="00400572"/>
    <w:rsid w:val="00400D06"/>
    <w:rsid w:val="00402255"/>
    <w:rsid w:val="0040225D"/>
    <w:rsid w:val="00405351"/>
    <w:rsid w:val="0041218B"/>
    <w:rsid w:val="004169BF"/>
    <w:rsid w:val="00420AD6"/>
    <w:rsid w:val="00420F73"/>
    <w:rsid w:val="00420FBE"/>
    <w:rsid w:val="0042173F"/>
    <w:rsid w:val="004234C9"/>
    <w:rsid w:val="004248D6"/>
    <w:rsid w:val="00431301"/>
    <w:rsid w:val="00440A6C"/>
    <w:rsid w:val="00441599"/>
    <w:rsid w:val="00443DDE"/>
    <w:rsid w:val="00447059"/>
    <w:rsid w:val="00462583"/>
    <w:rsid w:val="00471AEC"/>
    <w:rsid w:val="00472E8C"/>
    <w:rsid w:val="0047770B"/>
    <w:rsid w:val="00480CA9"/>
    <w:rsid w:val="00482A4F"/>
    <w:rsid w:val="00486237"/>
    <w:rsid w:val="00490430"/>
    <w:rsid w:val="004934E4"/>
    <w:rsid w:val="004979C4"/>
    <w:rsid w:val="004A15DD"/>
    <w:rsid w:val="004A6584"/>
    <w:rsid w:val="004A6D21"/>
    <w:rsid w:val="004B0593"/>
    <w:rsid w:val="004B0E9D"/>
    <w:rsid w:val="004B2724"/>
    <w:rsid w:val="004B2E89"/>
    <w:rsid w:val="004B55FE"/>
    <w:rsid w:val="004B6314"/>
    <w:rsid w:val="004C122A"/>
    <w:rsid w:val="004C2273"/>
    <w:rsid w:val="004C4186"/>
    <w:rsid w:val="004D07C9"/>
    <w:rsid w:val="004E5167"/>
    <w:rsid w:val="004E67AF"/>
    <w:rsid w:val="004E6C6F"/>
    <w:rsid w:val="004F2069"/>
    <w:rsid w:val="004F3C3C"/>
    <w:rsid w:val="004F4414"/>
    <w:rsid w:val="004F469D"/>
    <w:rsid w:val="0050225C"/>
    <w:rsid w:val="00506471"/>
    <w:rsid w:val="00510562"/>
    <w:rsid w:val="00517AA8"/>
    <w:rsid w:val="00535DF2"/>
    <w:rsid w:val="0053619A"/>
    <w:rsid w:val="005431FE"/>
    <w:rsid w:val="00543986"/>
    <w:rsid w:val="005459B4"/>
    <w:rsid w:val="005501F8"/>
    <w:rsid w:val="00551EAD"/>
    <w:rsid w:val="005539AF"/>
    <w:rsid w:val="005552F9"/>
    <w:rsid w:val="00561187"/>
    <w:rsid w:val="005618C2"/>
    <w:rsid w:val="0056564D"/>
    <w:rsid w:val="00571955"/>
    <w:rsid w:val="005734E3"/>
    <w:rsid w:val="005742E7"/>
    <w:rsid w:val="00574BC8"/>
    <w:rsid w:val="0057647F"/>
    <w:rsid w:val="00576AC1"/>
    <w:rsid w:val="00577FC7"/>
    <w:rsid w:val="005816F7"/>
    <w:rsid w:val="005833FA"/>
    <w:rsid w:val="00583DB8"/>
    <w:rsid w:val="00584D1F"/>
    <w:rsid w:val="0058665B"/>
    <w:rsid w:val="00590E7C"/>
    <w:rsid w:val="0059312D"/>
    <w:rsid w:val="005B12BD"/>
    <w:rsid w:val="005B6320"/>
    <w:rsid w:val="005C3317"/>
    <w:rsid w:val="005D293D"/>
    <w:rsid w:val="005D5483"/>
    <w:rsid w:val="005E0D41"/>
    <w:rsid w:val="005E4FE8"/>
    <w:rsid w:val="005E5B00"/>
    <w:rsid w:val="005F16E3"/>
    <w:rsid w:val="005F4FCB"/>
    <w:rsid w:val="00602E20"/>
    <w:rsid w:val="00612BF5"/>
    <w:rsid w:val="0062171B"/>
    <w:rsid w:val="00623414"/>
    <w:rsid w:val="00627FAE"/>
    <w:rsid w:val="006342A2"/>
    <w:rsid w:val="00634E11"/>
    <w:rsid w:val="00635743"/>
    <w:rsid w:val="00640004"/>
    <w:rsid w:val="0064153C"/>
    <w:rsid w:val="00645781"/>
    <w:rsid w:val="00647482"/>
    <w:rsid w:val="006475E0"/>
    <w:rsid w:val="006501C5"/>
    <w:rsid w:val="0065084C"/>
    <w:rsid w:val="00650B51"/>
    <w:rsid w:val="006533F8"/>
    <w:rsid w:val="00656E00"/>
    <w:rsid w:val="00661EC3"/>
    <w:rsid w:val="00665F44"/>
    <w:rsid w:val="00670FAD"/>
    <w:rsid w:val="006738CA"/>
    <w:rsid w:val="0067532C"/>
    <w:rsid w:val="0067614C"/>
    <w:rsid w:val="00681384"/>
    <w:rsid w:val="006816E2"/>
    <w:rsid w:val="00681AE9"/>
    <w:rsid w:val="00683599"/>
    <w:rsid w:val="00683A5B"/>
    <w:rsid w:val="00687B91"/>
    <w:rsid w:val="00693925"/>
    <w:rsid w:val="00693FC2"/>
    <w:rsid w:val="006A1C4A"/>
    <w:rsid w:val="006A6E77"/>
    <w:rsid w:val="006A7481"/>
    <w:rsid w:val="006A7D8A"/>
    <w:rsid w:val="006B11A4"/>
    <w:rsid w:val="006B6453"/>
    <w:rsid w:val="006C5775"/>
    <w:rsid w:val="006D2428"/>
    <w:rsid w:val="006D35BB"/>
    <w:rsid w:val="006D48E7"/>
    <w:rsid w:val="006D63EC"/>
    <w:rsid w:val="006E4DB8"/>
    <w:rsid w:val="006E56BD"/>
    <w:rsid w:val="006E7D34"/>
    <w:rsid w:val="006F322B"/>
    <w:rsid w:val="006F3719"/>
    <w:rsid w:val="006F39CC"/>
    <w:rsid w:val="006F5625"/>
    <w:rsid w:val="006F56F9"/>
    <w:rsid w:val="006F7FF6"/>
    <w:rsid w:val="00700467"/>
    <w:rsid w:val="00701EB9"/>
    <w:rsid w:val="007055B2"/>
    <w:rsid w:val="00710586"/>
    <w:rsid w:val="00712411"/>
    <w:rsid w:val="00715C5B"/>
    <w:rsid w:val="00716E50"/>
    <w:rsid w:val="0071714D"/>
    <w:rsid w:val="00726A33"/>
    <w:rsid w:val="00726AA0"/>
    <w:rsid w:val="007355AC"/>
    <w:rsid w:val="00744DD0"/>
    <w:rsid w:val="007451D1"/>
    <w:rsid w:val="00746F92"/>
    <w:rsid w:val="007474AA"/>
    <w:rsid w:val="00751FA0"/>
    <w:rsid w:val="00764440"/>
    <w:rsid w:val="00772B22"/>
    <w:rsid w:val="00777276"/>
    <w:rsid w:val="00777666"/>
    <w:rsid w:val="007849B6"/>
    <w:rsid w:val="00785017"/>
    <w:rsid w:val="007A56E1"/>
    <w:rsid w:val="007A7DFC"/>
    <w:rsid w:val="007B054E"/>
    <w:rsid w:val="007B127F"/>
    <w:rsid w:val="007B132B"/>
    <w:rsid w:val="007B1670"/>
    <w:rsid w:val="007B470C"/>
    <w:rsid w:val="007C370C"/>
    <w:rsid w:val="007C53BC"/>
    <w:rsid w:val="007C7D2E"/>
    <w:rsid w:val="007D285D"/>
    <w:rsid w:val="007D5A8C"/>
    <w:rsid w:val="007E0009"/>
    <w:rsid w:val="007E14A1"/>
    <w:rsid w:val="007E2CE8"/>
    <w:rsid w:val="007E361A"/>
    <w:rsid w:val="007E7022"/>
    <w:rsid w:val="007E7BB7"/>
    <w:rsid w:val="007F1B44"/>
    <w:rsid w:val="007F25FD"/>
    <w:rsid w:val="007F386F"/>
    <w:rsid w:val="007F7615"/>
    <w:rsid w:val="007F79D6"/>
    <w:rsid w:val="008058E3"/>
    <w:rsid w:val="008141E2"/>
    <w:rsid w:val="00816B5C"/>
    <w:rsid w:val="00820022"/>
    <w:rsid w:val="00820E31"/>
    <w:rsid w:val="00821AB1"/>
    <w:rsid w:val="00827C9E"/>
    <w:rsid w:val="0083154A"/>
    <w:rsid w:val="00842603"/>
    <w:rsid w:val="00845B50"/>
    <w:rsid w:val="0084768F"/>
    <w:rsid w:val="00862C17"/>
    <w:rsid w:val="00864330"/>
    <w:rsid w:val="00866058"/>
    <w:rsid w:val="00866A0A"/>
    <w:rsid w:val="00866DEA"/>
    <w:rsid w:val="00870099"/>
    <w:rsid w:val="00876388"/>
    <w:rsid w:val="008770AF"/>
    <w:rsid w:val="008825E3"/>
    <w:rsid w:val="00882A7A"/>
    <w:rsid w:val="00882ABD"/>
    <w:rsid w:val="008845B9"/>
    <w:rsid w:val="00884814"/>
    <w:rsid w:val="00887A42"/>
    <w:rsid w:val="008919C5"/>
    <w:rsid w:val="00896A83"/>
    <w:rsid w:val="008970B4"/>
    <w:rsid w:val="008971E8"/>
    <w:rsid w:val="008A006F"/>
    <w:rsid w:val="008A01D6"/>
    <w:rsid w:val="008A408B"/>
    <w:rsid w:val="008A541E"/>
    <w:rsid w:val="008A6B70"/>
    <w:rsid w:val="008B3B98"/>
    <w:rsid w:val="008B5F83"/>
    <w:rsid w:val="008C1D40"/>
    <w:rsid w:val="008C2AEC"/>
    <w:rsid w:val="008D1CF1"/>
    <w:rsid w:val="008D3ACE"/>
    <w:rsid w:val="008D3FA2"/>
    <w:rsid w:val="008D58EF"/>
    <w:rsid w:val="008D6A50"/>
    <w:rsid w:val="008D6F10"/>
    <w:rsid w:val="008E1A1D"/>
    <w:rsid w:val="008E206A"/>
    <w:rsid w:val="008E2DDD"/>
    <w:rsid w:val="008E63CD"/>
    <w:rsid w:val="008E73D1"/>
    <w:rsid w:val="008F1CBE"/>
    <w:rsid w:val="00901C59"/>
    <w:rsid w:val="00905F14"/>
    <w:rsid w:val="009073D3"/>
    <w:rsid w:val="00907CDA"/>
    <w:rsid w:val="00912F0C"/>
    <w:rsid w:val="00914295"/>
    <w:rsid w:val="0091671F"/>
    <w:rsid w:val="009207E2"/>
    <w:rsid w:val="00920AA1"/>
    <w:rsid w:val="0092731A"/>
    <w:rsid w:val="0092761F"/>
    <w:rsid w:val="00930A9B"/>
    <w:rsid w:val="009325A9"/>
    <w:rsid w:val="00942511"/>
    <w:rsid w:val="009435D6"/>
    <w:rsid w:val="0094482B"/>
    <w:rsid w:val="00944FD5"/>
    <w:rsid w:val="00950C1F"/>
    <w:rsid w:val="00952BC0"/>
    <w:rsid w:val="00952F96"/>
    <w:rsid w:val="009553A6"/>
    <w:rsid w:val="00955958"/>
    <w:rsid w:val="009568E3"/>
    <w:rsid w:val="0095747B"/>
    <w:rsid w:val="009576B1"/>
    <w:rsid w:val="00980D14"/>
    <w:rsid w:val="00987377"/>
    <w:rsid w:val="00992C2B"/>
    <w:rsid w:val="00992DD5"/>
    <w:rsid w:val="009956E7"/>
    <w:rsid w:val="009971ED"/>
    <w:rsid w:val="009A1440"/>
    <w:rsid w:val="009B1E29"/>
    <w:rsid w:val="009B252C"/>
    <w:rsid w:val="009B279B"/>
    <w:rsid w:val="009B29B1"/>
    <w:rsid w:val="009B332A"/>
    <w:rsid w:val="009B34F1"/>
    <w:rsid w:val="009B7D2C"/>
    <w:rsid w:val="009C1530"/>
    <w:rsid w:val="009C1947"/>
    <w:rsid w:val="009C4639"/>
    <w:rsid w:val="009C501F"/>
    <w:rsid w:val="009C54F3"/>
    <w:rsid w:val="009D175E"/>
    <w:rsid w:val="009D1B75"/>
    <w:rsid w:val="009D2AA8"/>
    <w:rsid w:val="009D3AB3"/>
    <w:rsid w:val="009E1039"/>
    <w:rsid w:val="009E141E"/>
    <w:rsid w:val="009E259C"/>
    <w:rsid w:val="009E44DF"/>
    <w:rsid w:val="009E4F5B"/>
    <w:rsid w:val="009E5AE8"/>
    <w:rsid w:val="009E710B"/>
    <w:rsid w:val="00A00FC2"/>
    <w:rsid w:val="00A02362"/>
    <w:rsid w:val="00A03CB6"/>
    <w:rsid w:val="00A05E02"/>
    <w:rsid w:val="00A123B9"/>
    <w:rsid w:val="00A12FE3"/>
    <w:rsid w:val="00A16869"/>
    <w:rsid w:val="00A3720C"/>
    <w:rsid w:val="00A40233"/>
    <w:rsid w:val="00A44EBC"/>
    <w:rsid w:val="00A50970"/>
    <w:rsid w:val="00A547BD"/>
    <w:rsid w:val="00A55921"/>
    <w:rsid w:val="00A57AFC"/>
    <w:rsid w:val="00A64728"/>
    <w:rsid w:val="00A64B09"/>
    <w:rsid w:val="00A6501E"/>
    <w:rsid w:val="00A653F4"/>
    <w:rsid w:val="00A75751"/>
    <w:rsid w:val="00A765E1"/>
    <w:rsid w:val="00A80FE0"/>
    <w:rsid w:val="00A90C35"/>
    <w:rsid w:val="00A926AC"/>
    <w:rsid w:val="00A9679F"/>
    <w:rsid w:val="00AA2BF4"/>
    <w:rsid w:val="00AA48A8"/>
    <w:rsid w:val="00AB31A9"/>
    <w:rsid w:val="00AB4087"/>
    <w:rsid w:val="00AC2E7F"/>
    <w:rsid w:val="00AC642F"/>
    <w:rsid w:val="00AD68B5"/>
    <w:rsid w:val="00AD7302"/>
    <w:rsid w:val="00AE0B8E"/>
    <w:rsid w:val="00AE0C22"/>
    <w:rsid w:val="00AE4827"/>
    <w:rsid w:val="00AF2DBA"/>
    <w:rsid w:val="00B0265B"/>
    <w:rsid w:val="00B03748"/>
    <w:rsid w:val="00B038DA"/>
    <w:rsid w:val="00B064A1"/>
    <w:rsid w:val="00B06C0D"/>
    <w:rsid w:val="00B12093"/>
    <w:rsid w:val="00B2092D"/>
    <w:rsid w:val="00B2461C"/>
    <w:rsid w:val="00B25C64"/>
    <w:rsid w:val="00B314AA"/>
    <w:rsid w:val="00B35EC7"/>
    <w:rsid w:val="00B37AE8"/>
    <w:rsid w:val="00B42136"/>
    <w:rsid w:val="00B43817"/>
    <w:rsid w:val="00B4554E"/>
    <w:rsid w:val="00B50811"/>
    <w:rsid w:val="00B57385"/>
    <w:rsid w:val="00B57E4B"/>
    <w:rsid w:val="00B63A6D"/>
    <w:rsid w:val="00B655EB"/>
    <w:rsid w:val="00B71269"/>
    <w:rsid w:val="00B72A09"/>
    <w:rsid w:val="00B74FE9"/>
    <w:rsid w:val="00B751E9"/>
    <w:rsid w:val="00B779FF"/>
    <w:rsid w:val="00B84DCA"/>
    <w:rsid w:val="00B90588"/>
    <w:rsid w:val="00B91223"/>
    <w:rsid w:val="00B94FE0"/>
    <w:rsid w:val="00BB33E0"/>
    <w:rsid w:val="00BB3B3B"/>
    <w:rsid w:val="00BB5F0C"/>
    <w:rsid w:val="00BC3D8A"/>
    <w:rsid w:val="00BC5238"/>
    <w:rsid w:val="00BD02D6"/>
    <w:rsid w:val="00BD69F9"/>
    <w:rsid w:val="00BE0086"/>
    <w:rsid w:val="00BE7438"/>
    <w:rsid w:val="00BF0796"/>
    <w:rsid w:val="00BF151D"/>
    <w:rsid w:val="00BF44FB"/>
    <w:rsid w:val="00C00C76"/>
    <w:rsid w:val="00C06065"/>
    <w:rsid w:val="00C13EAF"/>
    <w:rsid w:val="00C224C2"/>
    <w:rsid w:val="00C22E75"/>
    <w:rsid w:val="00C230B4"/>
    <w:rsid w:val="00C32023"/>
    <w:rsid w:val="00C339F3"/>
    <w:rsid w:val="00C33E8C"/>
    <w:rsid w:val="00C340F4"/>
    <w:rsid w:val="00C367D4"/>
    <w:rsid w:val="00C37D4D"/>
    <w:rsid w:val="00C41B8A"/>
    <w:rsid w:val="00C438B7"/>
    <w:rsid w:val="00C44F87"/>
    <w:rsid w:val="00C45AC0"/>
    <w:rsid w:val="00C51D77"/>
    <w:rsid w:val="00C53505"/>
    <w:rsid w:val="00C53D47"/>
    <w:rsid w:val="00C54791"/>
    <w:rsid w:val="00C564C2"/>
    <w:rsid w:val="00C56685"/>
    <w:rsid w:val="00C60558"/>
    <w:rsid w:val="00C6141B"/>
    <w:rsid w:val="00C61ED8"/>
    <w:rsid w:val="00C631D2"/>
    <w:rsid w:val="00C66BFB"/>
    <w:rsid w:val="00C710A3"/>
    <w:rsid w:val="00C71D73"/>
    <w:rsid w:val="00C731A6"/>
    <w:rsid w:val="00C73461"/>
    <w:rsid w:val="00C73B4A"/>
    <w:rsid w:val="00C80183"/>
    <w:rsid w:val="00C917FC"/>
    <w:rsid w:val="00C92980"/>
    <w:rsid w:val="00CA081A"/>
    <w:rsid w:val="00CA0D31"/>
    <w:rsid w:val="00CA2830"/>
    <w:rsid w:val="00CA63DA"/>
    <w:rsid w:val="00CB6AF2"/>
    <w:rsid w:val="00CB767D"/>
    <w:rsid w:val="00CC2163"/>
    <w:rsid w:val="00CC68C4"/>
    <w:rsid w:val="00CC740E"/>
    <w:rsid w:val="00CC78D3"/>
    <w:rsid w:val="00CD3957"/>
    <w:rsid w:val="00CD76DD"/>
    <w:rsid w:val="00CE62B1"/>
    <w:rsid w:val="00CF200E"/>
    <w:rsid w:val="00CF520A"/>
    <w:rsid w:val="00CF59EF"/>
    <w:rsid w:val="00D01F37"/>
    <w:rsid w:val="00D03356"/>
    <w:rsid w:val="00D138E0"/>
    <w:rsid w:val="00D23502"/>
    <w:rsid w:val="00D238B4"/>
    <w:rsid w:val="00D428E3"/>
    <w:rsid w:val="00D4464C"/>
    <w:rsid w:val="00D5243D"/>
    <w:rsid w:val="00D527F2"/>
    <w:rsid w:val="00D52D96"/>
    <w:rsid w:val="00D55C7D"/>
    <w:rsid w:val="00D63C31"/>
    <w:rsid w:val="00D65A05"/>
    <w:rsid w:val="00D667DC"/>
    <w:rsid w:val="00D70D3F"/>
    <w:rsid w:val="00D7405B"/>
    <w:rsid w:val="00D76085"/>
    <w:rsid w:val="00D764AF"/>
    <w:rsid w:val="00D76F32"/>
    <w:rsid w:val="00D85939"/>
    <w:rsid w:val="00D91887"/>
    <w:rsid w:val="00DA294C"/>
    <w:rsid w:val="00DA7978"/>
    <w:rsid w:val="00DB13F9"/>
    <w:rsid w:val="00DB44F4"/>
    <w:rsid w:val="00DB4A3B"/>
    <w:rsid w:val="00DC0F0B"/>
    <w:rsid w:val="00DD1B9D"/>
    <w:rsid w:val="00DD686B"/>
    <w:rsid w:val="00DE0465"/>
    <w:rsid w:val="00DE34BA"/>
    <w:rsid w:val="00DE67FB"/>
    <w:rsid w:val="00DF22FD"/>
    <w:rsid w:val="00DF4B22"/>
    <w:rsid w:val="00E00EEA"/>
    <w:rsid w:val="00E03AD2"/>
    <w:rsid w:val="00E04B81"/>
    <w:rsid w:val="00E1083A"/>
    <w:rsid w:val="00E143E7"/>
    <w:rsid w:val="00E1557F"/>
    <w:rsid w:val="00E213C3"/>
    <w:rsid w:val="00E23F00"/>
    <w:rsid w:val="00E27B91"/>
    <w:rsid w:val="00E306A1"/>
    <w:rsid w:val="00E31642"/>
    <w:rsid w:val="00E3291F"/>
    <w:rsid w:val="00E32936"/>
    <w:rsid w:val="00E33C29"/>
    <w:rsid w:val="00E35832"/>
    <w:rsid w:val="00E35FE3"/>
    <w:rsid w:val="00E37559"/>
    <w:rsid w:val="00E37E68"/>
    <w:rsid w:val="00E44729"/>
    <w:rsid w:val="00E54894"/>
    <w:rsid w:val="00E607C0"/>
    <w:rsid w:val="00E6306F"/>
    <w:rsid w:val="00E64844"/>
    <w:rsid w:val="00E64D74"/>
    <w:rsid w:val="00E668B4"/>
    <w:rsid w:val="00E66CA5"/>
    <w:rsid w:val="00E675A1"/>
    <w:rsid w:val="00E701D5"/>
    <w:rsid w:val="00E70DA9"/>
    <w:rsid w:val="00E71CBB"/>
    <w:rsid w:val="00E7580E"/>
    <w:rsid w:val="00E81E44"/>
    <w:rsid w:val="00E8304D"/>
    <w:rsid w:val="00E9002E"/>
    <w:rsid w:val="00E936DD"/>
    <w:rsid w:val="00E96493"/>
    <w:rsid w:val="00E97085"/>
    <w:rsid w:val="00EA133D"/>
    <w:rsid w:val="00EA13B1"/>
    <w:rsid w:val="00EA163E"/>
    <w:rsid w:val="00EA5E4D"/>
    <w:rsid w:val="00EA6FAB"/>
    <w:rsid w:val="00EB287D"/>
    <w:rsid w:val="00EC1832"/>
    <w:rsid w:val="00ED27B6"/>
    <w:rsid w:val="00EE2C0C"/>
    <w:rsid w:val="00EE5B46"/>
    <w:rsid w:val="00EF036A"/>
    <w:rsid w:val="00EF35E9"/>
    <w:rsid w:val="00EF6E7A"/>
    <w:rsid w:val="00F000C2"/>
    <w:rsid w:val="00F03775"/>
    <w:rsid w:val="00F03A9C"/>
    <w:rsid w:val="00F053B3"/>
    <w:rsid w:val="00F066E3"/>
    <w:rsid w:val="00F073D1"/>
    <w:rsid w:val="00F1015F"/>
    <w:rsid w:val="00F12875"/>
    <w:rsid w:val="00F15049"/>
    <w:rsid w:val="00F3219E"/>
    <w:rsid w:val="00F34942"/>
    <w:rsid w:val="00F35261"/>
    <w:rsid w:val="00F40513"/>
    <w:rsid w:val="00F41EF3"/>
    <w:rsid w:val="00F42893"/>
    <w:rsid w:val="00F45232"/>
    <w:rsid w:val="00F507D3"/>
    <w:rsid w:val="00F52D16"/>
    <w:rsid w:val="00F5450A"/>
    <w:rsid w:val="00F54C5A"/>
    <w:rsid w:val="00F66134"/>
    <w:rsid w:val="00F66985"/>
    <w:rsid w:val="00F67FD6"/>
    <w:rsid w:val="00F7314D"/>
    <w:rsid w:val="00F75109"/>
    <w:rsid w:val="00F8072D"/>
    <w:rsid w:val="00F84428"/>
    <w:rsid w:val="00F918D4"/>
    <w:rsid w:val="00F93C25"/>
    <w:rsid w:val="00FA02E1"/>
    <w:rsid w:val="00FA2AA1"/>
    <w:rsid w:val="00FA31CE"/>
    <w:rsid w:val="00FA45FD"/>
    <w:rsid w:val="00FA50FB"/>
    <w:rsid w:val="00FB0F0E"/>
    <w:rsid w:val="00FB6B4A"/>
    <w:rsid w:val="00FB72C8"/>
    <w:rsid w:val="00FC2B3B"/>
    <w:rsid w:val="00FC37C4"/>
    <w:rsid w:val="00FC4617"/>
    <w:rsid w:val="00FC68BD"/>
    <w:rsid w:val="00FC7674"/>
    <w:rsid w:val="00FD395A"/>
    <w:rsid w:val="00FD5691"/>
    <w:rsid w:val="00FE07F9"/>
    <w:rsid w:val="00FF0726"/>
    <w:rsid w:val="00FF143F"/>
    <w:rsid w:val="00FF2559"/>
    <w:rsid w:val="00FF79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8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56D"/>
    <w:rPr>
      <w:rFonts w:ascii="Verdana" w:hAnsi="Verdana"/>
      <w:lang w:val="en-GB" w:eastAsia="de-DE"/>
    </w:rPr>
  </w:style>
  <w:style w:type="paragraph" w:styleId="Heading1">
    <w:name w:val="heading 1"/>
    <w:basedOn w:val="Normal"/>
    <w:link w:val="Heading1Char"/>
    <w:qFormat/>
    <w:rsid w:val="00301551"/>
    <w:pPr>
      <w:keepNext/>
      <w:numPr>
        <w:numId w:val="1"/>
      </w:numPr>
      <w:spacing w:after="360"/>
      <w:outlineLvl w:val="0"/>
    </w:pPr>
    <w:rPr>
      <w:b/>
      <w:caps/>
      <w:sz w:val="28"/>
      <w:lang w:val="de-DE"/>
    </w:rPr>
  </w:style>
  <w:style w:type="paragraph" w:styleId="Heading2">
    <w:name w:val="heading 2"/>
    <w:basedOn w:val="Heading1"/>
    <w:link w:val="Heading2Char"/>
    <w:autoRedefine/>
    <w:qFormat/>
    <w:rsid w:val="00CD3957"/>
    <w:pPr>
      <w:numPr>
        <w:ilvl w:val="1"/>
        <w:numId w:val="2"/>
      </w:numPr>
      <w:tabs>
        <w:tab w:val="left" w:pos="567"/>
      </w:tabs>
      <w:spacing w:before="120" w:after="120"/>
      <w:outlineLvl w:val="1"/>
    </w:pPr>
    <w:rPr>
      <w:rFonts w:eastAsia="Calibri"/>
      <w:caps w:val="0"/>
      <w:sz w:val="24"/>
      <w:lang w:val="en-GB" w:eastAsia="en-US"/>
    </w:rPr>
  </w:style>
  <w:style w:type="paragraph" w:styleId="Heading3">
    <w:name w:val="heading 3"/>
    <w:basedOn w:val="Heading1"/>
    <w:link w:val="Heading3Char"/>
    <w:autoRedefine/>
    <w:qFormat/>
    <w:rsid w:val="00FD395A"/>
    <w:pPr>
      <w:numPr>
        <w:ilvl w:val="3"/>
        <w:numId w:val="2"/>
      </w:numPr>
      <w:spacing w:before="240" w:after="240"/>
      <w:outlineLvl w:val="2"/>
    </w:pPr>
    <w:rPr>
      <w:b w:val="0"/>
      <w:caps w:val="0"/>
      <w:sz w:val="22"/>
    </w:rPr>
  </w:style>
  <w:style w:type="paragraph" w:styleId="Heading4">
    <w:name w:val="heading 4"/>
    <w:basedOn w:val="Heading1"/>
    <w:link w:val="Heading4Char"/>
    <w:autoRedefine/>
    <w:qFormat/>
    <w:rsid w:val="006738CA"/>
    <w:pPr>
      <w:numPr>
        <w:numId w:val="0"/>
      </w:numPr>
      <w:spacing w:before="240" w:after="120"/>
      <w:jc w:val="both"/>
      <w:outlineLvl w:val="3"/>
    </w:pPr>
    <w:rPr>
      <w:rFonts w:eastAsia="Calibri"/>
      <w:b w:val="0"/>
      <w:caps w:val="0"/>
      <w:sz w:val="22"/>
      <w:szCs w:val="22"/>
      <w:lang w:val="en-US" w:eastAsia="en-US"/>
    </w:rPr>
  </w:style>
  <w:style w:type="paragraph" w:styleId="Heading5">
    <w:name w:val="heading 5"/>
    <w:basedOn w:val="Heading1"/>
    <w:link w:val="Heading5Char"/>
    <w:qFormat/>
    <w:pPr>
      <w:numPr>
        <w:ilvl w:val="4"/>
      </w:numPr>
      <w:spacing w:after="255" w:line="255" w:lineRule="exact"/>
      <w:outlineLvl w:val="4"/>
    </w:pPr>
    <w:rPr>
      <w:b w:val="0"/>
      <w:caps w:val="0"/>
      <w:sz w:val="22"/>
    </w:rPr>
  </w:style>
  <w:style w:type="paragraph" w:styleId="Heading6">
    <w:name w:val="heading 6"/>
    <w:basedOn w:val="Heading1"/>
    <w:link w:val="Heading6Char"/>
    <w:qFormat/>
    <w:pPr>
      <w:numPr>
        <w:ilvl w:val="5"/>
      </w:numPr>
      <w:spacing w:after="255" w:line="255" w:lineRule="exact"/>
      <w:outlineLvl w:val="5"/>
    </w:pPr>
    <w:rPr>
      <w:b w:val="0"/>
      <w:sz w:val="22"/>
    </w:rPr>
  </w:style>
  <w:style w:type="paragraph" w:styleId="Heading7">
    <w:name w:val="heading 7"/>
    <w:basedOn w:val="Heading1"/>
    <w:link w:val="Heading7Char"/>
    <w:qFormat/>
    <w:pPr>
      <w:numPr>
        <w:ilvl w:val="6"/>
      </w:numPr>
      <w:spacing w:after="255" w:line="255" w:lineRule="exact"/>
      <w:outlineLvl w:val="6"/>
    </w:pPr>
    <w:rPr>
      <w:b w:val="0"/>
      <w:sz w:val="22"/>
    </w:rPr>
  </w:style>
  <w:style w:type="paragraph" w:styleId="Heading8">
    <w:name w:val="heading 8"/>
    <w:basedOn w:val="Heading1"/>
    <w:link w:val="Heading8Char"/>
    <w:qFormat/>
    <w:pPr>
      <w:numPr>
        <w:ilvl w:val="7"/>
      </w:numPr>
      <w:spacing w:after="255" w:line="255" w:lineRule="exact"/>
      <w:outlineLvl w:val="7"/>
    </w:pPr>
    <w:rPr>
      <w:b w:val="0"/>
      <w:sz w:val="22"/>
    </w:rPr>
  </w:style>
  <w:style w:type="paragraph" w:styleId="Heading9">
    <w:name w:val="heading 9"/>
    <w:basedOn w:val="Heading1"/>
    <w:link w:val="Heading9Char"/>
    <w:qFormat/>
    <w:pPr>
      <w:numPr>
        <w:ilvl w:val="8"/>
      </w:numPr>
      <w:spacing w:after="255" w:line="255" w:lineRule="exact"/>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Pr>
      <w:sz w:val="16"/>
    </w:rPr>
  </w:style>
  <w:style w:type="character" w:styleId="EndnoteReference">
    <w:name w:val="endnote reference"/>
    <w:semiHidden/>
    <w:qFormat/>
    <w:rPr>
      <w:sz w:val="16"/>
    </w:rPr>
  </w:style>
  <w:style w:type="character" w:styleId="LineNumber">
    <w:name w:val="line number"/>
    <w:basedOn w:val="DefaultParagraphFont"/>
    <w:qFormat/>
  </w:style>
  <w:style w:type="character" w:styleId="CommentReference">
    <w:name w:val="annotation reference"/>
    <w:semiHidden/>
    <w:qFormat/>
    <w:rPr>
      <w:sz w:val="16"/>
    </w:rPr>
  </w:style>
  <w:style w:type="character" w:customStyle="1" w:styleId="Internetkoppeling">
    <w:name w:val="Internetkoppeling"/>
    <w:uiPriority w:val="99"/>
    <w:rPr>
      <w:color w:val="0000FF"/>
      <w:u w:val="single"/>
    </w:rPr>
  </w:style>
  <w:style w:type="character" w:styleId="PageNumber">
    <w:name w:val="page number"/>
    <w:basedOn w:val="DefaultParagraphFont"/>
    <w:qFormat/>
  </w:style>
  <w:style w:type="character" w:styleId="FollowedHyperlink">
    <w:name w:val="FollowedHyperlink"/>
    <w:qFormat/>
    <w:rsid w:val="00314E59"/>
    <w:rPr>
      <w:color w:val="800080"/>
      <w:u w:val="single"/>
    </w:rPr>
  </w:style>
  <w:style w:type="character" w:customStyle="1" w:styleId="BalloonTextChar">
    <w:name w:val="Balloon Text Char"/>
    <w:link w:val="BalloonText"/>
    <w:qFormat/>
    <w:rsid w:val="00B26DCE"/>
    <w:rPr>
      <w:rFonts w:ascii="Tahoma" w:hAnsi="Tahoma" w:cs="Tahoma"/>
      <w:sz w:val="16"/>
      <w:szCs w:val="16"/>
      <w:lang w:val="de-DE" w:eastAsia="de-DE"/>
    </w:rPr>
  </w:style>
  <w:style w:type="character" w:customStyle="1" w:styleId="TabletextCar">
    <w:name w:val="Table text Car"/>
    <w:link w:val="Tabletext"/>
    <w:qFormat/>
    <w:locked/>
    <w:rsid w:val="00277D5D"/>
    <w:rPr>
      <w:lang w:val="en-US" w:eastAsia="da-DK"/>
    </w:rPr>
  </w:style>
  <w:style w:type="character" w:customStyle="1" w:styleId="CSRTableTitleZchn">
    <w:name w:val="CSR_TableTitle Zchn"/>
    <w:link w:val="CSRTableTitle"/>
    <w:qFormat/>
    <w:rsid w:val="00277D5D"/>
    <w:rPr>
      <w:b/>
      <w:bCs/>
      <w:color w:val="000000"/>
    </w:rPr>
  </w:style>
  <w:style w:type="character" w:customStyle="1" w:styleId="FooterChar">
    <w:name w:val="Footer Char"/>
    <w:link w:val="Footer"/>
    <w:uiPriority w:val="99"/>
    <w:qFormat/>
    <w:rsid w:val="00AD09CA"/>
    <w:rPr>
      <w:sz w:val="22"/>
      <w:lang w:val="de-DE" w:eastAsia="de-DE"/>
    </w:rPr>
  </w:style>
  <w:style w:type="character" w:customStyle="1" w:styleId="CaptionChar">
    <w:name w:val="Caption Char"/>
    <w:link w:val="Caption"/>
    <w:qFormat/>
    <w:rsid w:val="00E158E0"/>
    <w:rPr>
      <w:sz w:val="22"/>
      <w:lang w:val="de-DE" w:eastAsia="de-DE"/>
    </w:rPr>
  </w:style>
  <w:style w:type="character" w:customStyle="1" w:styleId="CommentTextChar">
    <w:name w:val="Comment Text Char"/>
    <w:link w:val="CommentText"/>
    <w:qFormat/>
    <w:rsid w:val="00D21B1D"/>
    <w:rPr>
      <w:lang w:val="de-DE" w:eastAsia="de-DE"/>
    </w:rPr>
  </w:style>
  <w:style w:type="character" w:customStyle="1" w:styleId="CommentSubjectChar">
    <w:name w:val="Comment Subject Char"/>
    <w:link w:val="CommentSubject"/>
    <w:qFormat/>
    <w:rsid w:val="00D21B1D"/>
    <w:rPr>
      <w:b/>
      <w:bCs/>
      <w:lang w:val="de-DE" w:eastAsia="de-DE"/>
    </w:rPr>
  </w:style>
  <w:style w:type="character" w:customStyle="1" w:styleId="CSRTableTitleCharChar">
    <w:name w:val="CSR TableTitle Char Char"/>
    <w:link w:val="CSRTableTitle0"/>
    <w:qFormat/>
    <w:rsid w:val="00B96F1C"/>
    <w:rPr>
      <w:rFonts w:ascii="Times" w:hAnsi="Times"/>
      <w:b/>
      <w:color w:val="000000"/>
      <w:szCs w:val="24"/>
    </w:rPr>
  </w:style>
  <w:style w:type="character" w:customStyle="1" w:styleId="FootnoteTextChar">
    <w:name w:val="Footnote Text Char"/>
    <w:link w:val="FootnoteText"/>
    <w:uiPriority w:val="99"/>
    <w:semiHidden/>
    <w:qFormat/>
    <w:locked/>
    <w:rsid w:val="00307AA0"/>
    <w:rPr>
      <w:rFonts w:ascii="Verdana" w:hAnsi="Verdana"/>
      <w:lang w:val="de-DE" w:eastAsia="de-DE"/>
    </w:rPr>
  </w:style>
  <w:style w:type="character" w:customStyle="1" w:styleId="Heading2Char">
    <w:name w:val="Heading 2 Char"/>
    <w:link w:val="Heading2"/>
    <w:qFormat/>
    <w:rsid w:val="00CD3957"/>
    <w:rPr>
      <w:rFonts w:ascii="Verdana" w:eastAsia="Calibri" w:hAnsi="Verdana"/>
      <w:b/>
      <w:sz w:val="24"/>
      <w:lang w:val="en-GB"/>
    </w:rPr>
  </w:style>
  <w:style w:type="character" w:customStyle="1" w:styleId="Heading3Char">
    <w:name w:val="Heading 3 Char"/>
    <w:link w:val="Heading3"/>
    <w:qFormat/>
    <w:rsid w:val="00FD395A"/>
    <w:rPr>
      <w:rFonts w:ascii="Verdana" w:hAnsi="Verdana"/>
      <w:sz w:val="22"/>
      <w:lang w:val="de-DE" w:eastAsia="de-DE"/>
    </w:rPr>
  </w:style>
  <w:style w:type="character" w:customStyle="1" w:styleId="HeaderChar">
    <w:name w:val="Header Char"/>
    <w:link w:val="Header"/>
    <w:qFormat/>
    <w:rsid w:val="000D4863"/>
    <w:rPr>
      <w:sz w:val="22"/>
      <w:lang w:val="de-DE" w:eastAsia="de-DE"/>
    </w:rPr>
  </w:style>
  <w:style w:type="character" w:customStyle="1" w:styleId="Heading1Char">
    <w:name w:val="Heading 1 Char"/>
    <w:link w:val="Heading1"/>
    <w:qFormat/>
    <w:rsid w:val="002A4B06"/>
    <w:rPr>
      <w:rFonts w:ascii="Verdana" w:hAnsi="Verdana"/>
      <w:b/>
      <w:caps/>
      <w:sz w:val="28"/>
      <w:lang w:val="de-DE" w:eastAsia="de-DE"/>
    </w:rPr>
  </w:style>
  <w:style w:type="character" w:customStyle="1" w:styleId="Heading4Char">
    <w:name w:val="Heading 4 Char"/>
    <w:link w:val="Heading4"/>
    <w:qFormat/>
    <w:rsid w:val="006738CA"/>
    <w:rPr>
      <w:rFonts w:ascii="Verdana" w:eastAsia="Calibri" w:hAnsi="Verdana"/>
      <w:sz w:val="22"/>
      <w:szCs w:val="22"/>
    </w:rPr>
  </w:style>
  <w:style w:type="character" w:customStyle="1" w:styleId="Heading5Char">
    <w:name w:val="Heading 5 Char"/>
    <w:link w:val="Heading5"/>
    <w:qFormat/>
    <w:rsid w:val="00A53EE0"/>
    <w:rPr>
      <w:rFonts w:ascii="Verdana" w:hAnsi="Verdana"/>
      <w:sz w:val="22"/>
      <w:lang w:val="de-DE" w:eastAsia="de-DE"/>
    </w:rPr>
  </w:style>
  <w:style w:type="character" w:customStyle="1" w:styleId="Heading6Char">
    <w:name w:val="Heading 6 Char"/>
    <w:link w:val="Heading6"/>
    <w:qFormat/>
    <w:rsid w:val="00A53EE0"/>
    <w:rPr>
      <w:rFonts w:ascii="Verdana" w:hAnsi="Verdana"/>
      <w:caps/>
      <w:sz w:val="22"/>
      <w:lang w:val="de-DE" w:eastAsia="de-DE"/>
    </w:rPr>
  </w:style>
  <w:style w:type="character" w:customStyle="1" w:styleId="Heading7Char">
    <w:name w:val="Heading 7 Char"/>
    <w:link w:val="Heading7"/>
    <w:qFormat/>
    <w:rsid w:val="00A53EE0"/>
    <w:rPr>
      <w:rFonts w:ascii="Verdana" w:hAnsi="Verdana"/>
      <w:caps/>
      <w:sz w:val="22"/>
      <w:lang w:val="de-DE" w:eastAsia="de-DE"/>
    </w:rPr>
  </w:style>
  <w:style w:type="character" w:customStyle="1" w:styleId="Heading8Char">
    <w:name w:val="Heading 8 Char"/>
    <w:link w:val="Heading8"/>
    <w:qFormat/>
    <w:rsid w:val="00A53EE0"/>
    <w:rPr>
      <w:rFonts w:ascii="Verdana" w:hAnsi="Verdana"/>
      <w:caps/>
      <w:sz w:val="22"/>
      <w:lang w:val="de-DE" w:eastAsia="de-DE"/>
    </w:rPr>
  </w:style>
  <w:style w:type="character" w:customStyle="1" w:styleId="Heading9Char">
    <w:name w:val="Heading 9 Char"/>
    <w:link w:val="Heading9"/>
    <w:qFormat/>
    <w:rsid w:val="00A53EE0"/>
    <w:rPr>
      <w:rFonts w:ascii="Verdana" w:hAnsi="Verdana"/>
      <w:caps/>
      <w:sz w:val="22"/>
      <w:lang w:val="de-DE" w:eastAsia="de-DE"/>
    </w:rPr>
  </w:style>
  <w:style w:type="character" w:customStyle="1" w:styleId="BodyTextChar">
    <w:name w:val="Body Text Char"/>
    <w:link w:val="BodyText"/>
    <w:qFormat/>
    <w:rsid w:val="00A53EE0"/>
    <w:rPr>
      <w:rFonts w:ascii="Verdana" w:hAnsi="Verdana"/>
      <w:lang w:eastAsia="de-DE"/>
    </w:rPr>
  </w:style>
  <w:style w:type="character" w:styleId="Strong">
    <w:name w:val="Strong"/>
    <w:qFormat/>
    <w:rsid w:val="00A53EE0"/>
    <w:rPr>
      <w:b/>
      <w:bCs/>
    </w:rPr>
  </w:style>
  <w:style w:type="character" w:customStyle="1" w:styleId="TableheadZchn">
    <w:name w:val="Tablehead Zchn"/>
    <w:link w:val="Tablehead"/>
    <w:qFormat/>
    <w:locked/>
    <w:rsid w:val="00A53EE0"/>
    <w:rPr>
      <w:rFonts w:ascii="Verdana" w:eastAsia="Calibri" w:hAnsi="Verdana"/>
      <w:b/>
      <w:lang w:val="en-US" w:eastAsia="de-DE"/>
    </w:rPr>
  </w:style>
  <w:style w:type="character" w:customStyle="1" w:styleId="BfRBBStandardZchn">
    <w:name w:val="BfR BB Standard Zchn"/>
    <w:link w:val="BfRBBStandard"/>
    <w:qFormat/>
    <w:locked/>
    <w:rsid w:val="00A53EE0"/>
    <w:rPr>
      <w:rFonts w:ascii="Arial" w:eastAsia="Calibri" w:hAnsi="Arial" w:cs="Arial"/>
      <w:sz w:val="22"/>
      <w:szCs w:val="22"/>
      <w:lang w:val="en-US" w:eastAsia="de-DE"/>
    </w:rPr>
  </w:style>
  <w:style w:type="character" w:customStyle="1" w:styleId="BodyTextIndent2Char">
    <w:name w:val="Body Text Indent 2 Char"/>
    <w:link w:val="BodyTextIndent2"/>
    <w:qFormat/>
    <w:rsid w:val="00A53EE0"/>
    <w:rPr>
      <w:rFonts w:ascii="Verdana" w:hAnsi="Verdana"/>
      <w:lang w:eastAsia="de-DE"/>
    </w:rPr>
  </w:style>
  <w:style w:type="character" w:customStyle="1" w:styleId="Geaccentueerd">
    <w:name w:val="Geaccentueerd"/>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character" w:customStyle="1" w:styleId="CommentTextChar1">
    <w:name w:val="Comment Text Char1"/>
    <w:qFormat/>
    <w:rsid w:val="00A53EE0"/>
    <w:rPr>
      <w:rFonts w:ascii="Arial" w:hAnsi="Arial"/>
      <w:lang w:val="nl" w:eastAsia="nl-NL" w:bidi="ar-SA"/>
    </w:rPr>
  </w:style>
  <w:style w:type="character" w:customStyle="1" w:styleId="TitleChar">
    <w:name w:val="Title Char"/>
    <w:link w:val="Title"/>
    <w:qFormat/>
    <w:rsid w:val="00A53EE0"/>
    <w:rPr>
      <w:rFonts w:ascii="Verdana" w:eastAsia="Calibri" w:hAnsi="Verdana"/>
      <w:b/>
      <w:sz w:val="28"/>
      <w:szCs w:val="36"/>
      <w:lang w:eastAsia="en-US"/>
    </w:rPr>
  </w:style>
  <w:style w:type="character" w:customStyle="1" w:styleId="SubtitleChar">
    <w:name w:val="Subtitle Char"/>
    <w:link w:val="Subtitle"/>
    <w:qFormat/>
    <w:rsid w:val="00A53EE0"/>
    <w:rPr>
      <w:rFonts w:ascii="Verdana" w:hAnsi="Verdana"/>
      <w:b/>
      <w:sz w:val="36"/>
      <w:szCs w:val="36"/>
      <w:lang w:eastAsia="de-DE"/>
    </w:rPr>
  </w:style>
  <w:style w:type="character" w:customStyle="1" w:styleId="TablebodyZchn">
    <w:name w:val="Tablebody Zchn"/>
    <w:link w:val="Tablebody"/>
    <w:qFormat/>
    <w:rsid w:val="00A53EE0"/>
    <w:rPr>
      <w:rFonts w:ascii="Verdana" w:eastAsia="Calibri" w:hAnsi="Verdana"/>
      <w:lang w:val="en-US" w:eastAsia="de-DE"/>
    </w:rPr>
  </w:style>
  <w:style w:type="character" w:customStyle="1" w:styleId="PlainTextChar">
    <w:name w:val="Plain Text Char"/>
    <w:link w:val="PlainText"/>
    <w:uiPriority w:val="99"/>
    <w:qFormat/>
    <w:rsid w:val="00022044"/>
    <w:rPr>
      <w:rFonts w:ascii="Courier New" w:hAnsi="Courier New"/>
      <w:lang w:eastAsia="de-DE"/>
    </w:rPr>
  </w:style>
  <w:style w:type="character" w:styleId="SubtleEmphasis">
    <w:name w:val="Subtle Emphasis"/>
    <w:uiPriority w:val="19"/>
    <w:qFormat/>
    <w:rsid w:val="00FD2055"/>
    <w:rPr>
      <w:rFonts w:ascii="Verdana" w:hAnsi="Verdana"/>
      <w:i/>
      <w:iCs/>
      <w:color w:val="808080"/>
      <w:sz w:val="18"/>
    </w:rPr>
  </w:style>
  <w:style w:type="character" w:customStyle="1" w:styleId="SchwacheHervorhebung1">
    <w:name w:val="Schwache Hervorhebung1"/>
    <w:uiPriority w:val="19"/>
    <w:qFormat/>
    <w:rsid w:val="007E37A7"/>
    <w:rPr>
      <w:rFonts w:ascii="Verdana" w:hAnsi="Verdana"/>
      <w:i/>
      <w:iCs/>
      <w:color w:val="808080"/>
      <w:sz w:val="18"/>
    </w:rPr>
  </w:style>
  <w:style w:type="character" w:customStyle="1" w:styleId="Standard-fettCharChar">
    <w:name w:val="Standard-fett Char Char"/>
    <w:qFormat/>
    <w:rsid w:val="007E37A7"/>
    <w:rPr>
      <w:b/>
      <w:sz w:val="22"/>
      <w:lang w:val="de-DE" w:eastAsia="de-DE"/>
    </w:rPr>
  </w:style>
  <w:style w:type="character" w:customStyle="1" w:styleId="Standard-italicsChar1">
    <w:name w:val="Standard-italics Char1"/>
    <w:qFormat/>
    <w:rsid w:val="007E37A7"/>
    <w:rPr>
      <w:rFonts w:ascii="Verdana" w:hAnsi="Verdana"/>
      <w:i/>
      <w:lang w:val="en-GB" w:eastAsia="de-DE"/>
    </w:rPr>
  </w:style>
  <w:style w:type="character" w:customStyle="1" w:styleId="value">
    <w:name w:val="value"/>
    <w:qFormat/>
    <w:rsid w:val="007E37A7"/>
  </w:style>
  <w:style w:type="character" w:customStyle="1" w:styleId="Standard-italicsZchn">
    <w:name w:val="Standard-italics Zchn"/>
    <w:qFormat/>
    <w:rsid w:val="007E37A7"/>
    <w:rPr>
      <w:i/>
      <w:lang w:val="de-DE" w:eastAsia="de-DE" w:bidi="ar-SA"/>
    </w:rPr>
  </w:style>
  <w:style w:type="character" w:customStyle="1" w:styleId="TableTextCharChar1">
    <w:name w:val="Table Text Char Char1"/>
    <w:link w:val="TableTextChar"/>
    <w:qFormat/>
    <w:rsid w:val="007E37A7"/>
    <w:rPr>
      <w:color w:val="000000"/>
      <w:lang w:val="en-GB" w:eastAsia="de-DE"/>
    </w:rPr>
  </w:style>
  <w:style w:type="character" w:customStyle="1" w:styleId="ListLabel1">
    <w:name w:val="ListLabel 1"/>
    <w:qFormat/>
    <w:rPr>
      <w:sz w:val="20"/>
    </w:rPr>
  </w:style>
  <w:style w:type="character" w:customStyle="1" w:styleId="ListLabel2">
    <w:name w:val="ListLabel 2"/>
    <w:qFormat/>
    <w:rPr>
      <w:b/>
      <w:i w:val="0"/>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b w:val="0"/>
      <w:bCs w:val="0"/>
      <w:i w:val="0"/>
      <w:iCs w:val="0"/>
      <w:caps w:val="0"/>
      <w:smallCaps w:val="0"/>
      <w:strike w:val="0"/>
      <w:dstrike w:val="0"/>
      <w:vanish w:val="0"/>
      <w:color w:val="000000"/>
      <w:spacing w:val="0"/>
      <w:position w:val="0"/>
      <w:sz w:val="20"/>
      <w:u w:val="none"/>
      <w:effect w:val="none"/>
      <w:vertAlign w:val="baseline"/>
      <w:em w:val="none"/>
      <w:lang w:bidi="x-none"/>
    </w:rPr>
  </w:style>
  <w:style w:type="character" w:customStyle="1" w:styleId="ListLabel7">
    <w:name w:val="ListLabel 7"/>
    <w:qFormat/>
    <w:rPr>
      <w:b/>
      <w:sz w:val="24"/>
      <w:lang w:val="de-DE"/>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Eindnoottekens">
    <w:name w:val="Eindnoottekens"/>
    <w:qFormat/>
  </w:style>
  <w:style w:type="character" w:customStyle="1" w:styleId="Indexkoppeling">
    <w:name w:val="Indexkoppeling"/>
    <w:qFormat/>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paragraph" w:customStyle="1" w:styleId="Kop">
    <w:name w:val="Kop"/>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style>
  <w:style w:type="paragraph" w:styleId="List">
    <w:name w:val="List"/>
    <w:basedOn w:val="Normal"/>
    <w:pPr>
      <w:spacing w:after="255" w:line="255" w:lineRule="exact"/>
      <w:ind w:left="2013" w:hanging="284"/>
    </w:pPr>
    <w:rPr>
      <w:rFonts w:ascii="Times New Roman" w:hAnsi="Times New Roman"/>
    </w:rPr>
  </w:style>
  <w:style w:type="paragraph" w:styleId="Caption">
    <w:name w:val="caption"/>
    <w:basedOn w:val="Normal"/>
    <w:next w:val="Absatz"/>
    <w:link w:val="CaptionChar"/>
    <w:qFormat/>
    <w:pPr>
      <w:tabs>
        <w:tab w:val="left" w:pos="1418"/>
      </w:tabs>
      <w:spacing w:after="255"/>
      <w:ind w:left="1418" w:hanging="1418"/>
    </w:pPr>
    <w:rPr>
      <w:rFonts w:ascii="Times New Roman" w:hAnsi="Times New Roman"/>
    </w:rPr>
  </w:style>
  <w:style w:type="paragraph" w:customStyle="1" w:styleId="Index">
    <w:name w:val="Index"/>
    <w:basedOn w:val="Normal"/>
    <w:qFormat/>
    <w:pPr>
      <w:suppressLineNumbers/>
    </w:pPr>
    <w:rPr>
      <w:rFonts w:cs="Mangal"/>
    </w:rPr>
  </w:style>
  <w:style w:type="paragraph" w:customStyle="1" w:styleId="Absatz">
    <w:name w:val="Absatz"/>
    <w:basedOn w:val="Normal"/>
    <w:qFormat/>
    <w:pPr>
      <w:ind w:left="1729"/>
    </w:pPr>
    <w:rPr>
      <w:rFonts w:ascii="Times New Roman" w:hAnsi="Times New Roman"/>
    </w:rPr>
  </w:style>
  <w:style w:type="paragraph" w:customStyle="1" w:styleId="Paginalinks">
    <w:name w:val="Pagina links"/>
    <w:qFormat/>
    <w:rPr>
      <w:sz w:val="22"/>
      <w:lang w:val="de-DE" w:eastAsia="de-DE"/>
    </w:rPr>
  </w:style>
  <w:style w:type="paragraph" w:styleId="Header">
    <w:name w:val="header"/>
    <w:basedOn w:val="Normal"/>
    <w:link w:val="HeaderChar"/>
    <w:pPr>
      <w:tabs>
        <w:tab w:val="center" w:pos="4536"/>
        <w:tab w:val="right" w:pos="9072"/>
      </w:tabs>
    </w:pPr>
    <w:rPr>
      <w:sz w:val="22"/>
      <w:lang w:val="de-DE"/>
    </w:rPr>
  </w:style>
  <w:style w:type="paragraph" w:styleId="Footer">
    <w:name w:val="footer"/>
    <w:basedOn w:val="Normal"/>
    <w:link w:val="FooterChar"/>
    <w:pPr>
      <w:tabs>
        <w:tab w:val="center" w:pos="4536"/>
        <w:tab w:val="right" w:pos="9072"/>
      </w:tabs>
    </w:pPr>
    <w:rPr>
      <w:rFonts w:ascii="Times New Roman" w:hAnsi="Times New Roman"/>
    </w:rPr>
  </w:style>
  <w:style w:type="paragraph" w:customStyle="1" w:styleId="MarginalenebenLinie">
    <w:name w:val="Marginale neben Linie"/>
    <w:basedOn w:val="Marginale"/>
    <w:qFormat/>
    <w:pPr>
      <w:spacing w:before="60"/>
    </w:pPr>
  </w:style>
  <w:style w:type="paragraph" w:customStyle="1" w:styleId="Marginale">
    <w:name w:val="Marginale"/>
    <w:basedOn w:val="Normal"/>
    <w:qFormat/>
    <w:pPr>
      <w:spacing w:line="255" w:lineRule="exact"/>
    </w:pPr>
    <w:rPr>
      <w:rFonts w:ascii="Times New Roman" w:hAnsi="Times New Roman"/>
      <w:b/>
    </w:rPr>
  </w:style>
  <w:style w:type="paragraph" w:customStyle="1" w:styleId="Strich-Liste">
    <w:name w:val="Strich-Liste"/>
    <w:basedOn w:val="Normal"/>
    <w:qFormat/>
    <w:pPr>
      <w:spacing w:line="255" w:lineRule="exact"/>
      <w:ind w:left="2013" w:hanging="284"/>
    </w:pPr>
  </w:style>
  <w:style w:type="paragraph" w:customStyle="1" w:styleId="Punkt-Liste">
    <w:name w:val="Punkt-Liste"/>
    <w:basedOn w:val="Normal"/>
    <w:qFormat/>
    <w:pPr>
      <w:spacing w:before="60" w:after="60"/>
      <w:ind w:left="2013" w:hanging="284"/>
    </w:pPr>
  </w:style>
  <w:style w:type="paragraph" w:customStyle="1" w:styleId="Strich-ListeEbene2">
    <w:name w:val="Strich-Liste (Ebene 2)"/>
    <w:basedOn w:val="Strich-Liste"/>
    <w:qFormat/>
    <w:pPr>
      <w:tabs>
        <w:tab w:val="left" w:pos="284"/>
        <w:tab w:val="left" w:pos="2013"/>
        <w:tab w:val="left" w:pos="3742"/>
        <w:tab w:val="left" w:pos="5472"/>
      </w:tabs>
      <w:ind w:left="2297"/>
    </w:pPr>
  </w:style>
  <w:style w:type="paragraph" w:customStyle="1" w:styleId="Text-Liste">
    <w:name w:val="Text-Liste"/>
    <w:basedOn w:val="Normal"/>
    <w:qFormat/>
    <w:pPr>
      <w:spacing w:line="255" w:lineRule="exact"/>
      <w:ind w:left="3458" w:hanging="1729"/>
    </w:pPr>
  </w:style>
  <w:style w:type="paragraph" w:customStyle="1" w:styleId="berschriftimText">
    <w:name w:val="Überschrift im Text"/>
    <w:basedOn w:val="Normal"/>
    <w:next w:val="Absatz"/>
    <w:qFormat/>
    <w:pPr>
      <w:spacing w:after="255" w:line="255" w:lineRule="exact"/>
      <w:ind w:left="1729"/>
    </w:pPr>
    <w:rPr>
      <w:b/>
      <w:u w:val="single"/>
    </w:rPr>
  </w:style>
  <w:style w:type="paragraph" w:customStyle="1" w:styleId="Einrckung">
    <w:name w:val="Einrückung"/>
    <w:basedOn w:val="Normal"/>
    <w:qFormat/>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qFormat/>
    <w:pPr>
      <w:spacing w:line="198" w:lineRule="exact"/>
      <w:ind w:left="221" w:hanging="221"/>
    </w:pPr>
    <w:rPr>
      <w:rFonts w:ascii="Times New Roman" w:hAnsi="Times New Roman"/>
    </w:rPr>
  </w:style>
  <w:style w:type="paragraph" w:customStyle="1" w:styleId="berschriftAS">
    <w:name w:val="Überschrift AS"/>
    <w:basedOn w:val="Normal"/>
    <w:next w:val="Normal"/>
    <w:qFormat/>
    <w:pPr>
      <w:keepNext/>
      <w:spacing w:after="1020" w:line="383" w:lineRule="exact"/>
    </w:pPr>
    <w:rPr>
      <w:sz w:val="30"/>
    </w:rPr>
  </w:style>
  <w:style w:type="paragraph" w:customStyle="1" w:styleId="Abkrzungen">
    <w:name w:val="Abkürzungen"/>
    <w:basedOn w:val="Normal"/>
    <w:qFormat/>
    <w:pPr>
      <w:spacing w:line="255" w:lineRule="exact"/>
    </w:pPr>
    <w:rPr>
      <w:rFonts w:ascii="Times New Roman" w:hAnsi="Times New Roman"/>
    </w:rPr>
  </w:style>
  <w:style w:type="paragraph" w:customStyle="1" w:styleId="HalbeLeerzeile">
    <w:name w:val="Halbe Leerzeile"/>
    <w:basedOn w:val="Normal"/>
    <w:qFormat/>
    <w:pPr>
      <w:spacing w:line="128" w:lineRule="exact"/>
      <w:ind w:left="1729"/>
    </w:pPr>
    <w:rPr>
      <w:rFonts w:ascii="Times New Roman" w:hAnsi="Times New Roman"/>
      <w:sz w:val="16"/>
    </w:rPr>
  </w:style>
  <w:style w:type="paragraph" w:styleId="Index2">
    <w:name w:val="index 2"/>
    <w:basedOn w:val="Index1"/>
    <w:next w:val="Normal"/>
    <w:semiHidden/>
    <w:qFormat/>
    <w:pPr>
      <w:ind w:left="442"/>
    </w:pPr>
  </w:style>
  <w:style w:type="paragraph" w:styleId="IndexHeading">
    <w:name w:val="index heading"/>
    <w:basedOn w:val="Normal"/>
    <w:semiHidden/>
    <w:qFormat/>
    <w:pPr>
      <w:spacing w:line="198" w:lineRule="exact"/>
    </w:pPr>
    <w:rPr>
      <w:rFonts w:ascii="Times New Roman" w:hAnsi="Times New Roman"/>
      <w:b/>
    </w:rPr>
  </w:style>
  <w:style w:type="paragraph" w:styleId="TOC1">
    <w:name w:val="toc 1"/>
    <w:basedOn w:val="Normal"/>
    <w:next w:val="Normal"/>
    <w:uiPriority w:val="39"/>
    <w:qFormat/>
    <w:rsid w:val="00FF37FA"/>
    <w:pPr>
      <w:spacing w:before="120" w:after="120"/>
    </w:pPr>
    <w:rPr>
      <w:rFonts w:ascii="Calibri" w:hAnsi="Calibri"/>
      <w:b/>
      <w:bCs/>
      <w:caps/>
    </w:rPr>
  </w:style>
  <w:style w:type="paragraph" w:styleId="TOC2">
    <w:name w:val="toc 2"/>
    <w:basedOn w:val="Normal"/>
    <w:next w:val="Normal"/>
    <w:uiPriority w:val="39"/>
    <w:qFormat/>
    <w:rsid w:val="006F067B"/>
    <w:pPr>
      <w:ind w:left="200"/>
    </w:pPr>
    <w:rPr>
      <w:rFonts w:ascii="Calibri" w:hAnsi="Calibri"/>
      <w:smallCaps/>
    </w:rPr>
  </w:style>
  <w:style w:type="paragraph" w:styleId="TOC3">
    <w:name w:val="toc 3"/>
    <w:basedOn w:val="TOC2"/>
    <w:next w:val="Normal"/>
    <w:uiPriority w:val="39"/>
    <w:qFormat/>
    <w:rsid w:val="006F067B"/>
    <w:pPr>
      <w:ind w:left="400"/>
    </w:pPr>
    <w:rPr>
      <w:i/>
      <w:iCs/>
      <w:smallCaps w:val="0"/>
    </w:rPr>
  </w:style>
  <w:style w:type="paragraph" w:styleId="TOC4">
    <w:name w:val="toc 4"/>
    <w:basedOn w:val="TOC2"/>
    <w:next w:val="Normal"/>
    <w:uiPriority w:val="39"/>
    <w:pPr>
      <w:ind w:left="600"/>
    </w:pPr>
    <w:rPr>
      <w:smallCaps w:val="0"/>
      <w:sz w:val="18"/>
      <w:szCs w:val="18"/>
    </w:rPr>
  </w:style>
  <w:style w:type="paragraph" w:styleId="TOC5">
    <w:name w:val="toc 5"/>
    <w:basedOn w:val="TOC2"/>
    <w:next w:val="Normal"/>
    <w:uiPriority w:val="39"/>
    <w:pPr>
      <w:ind w:left="800"/>
    </w:pPr>
    <w:rPr>
      <w:smallCaps w:val="0"/>
      <w:sz w:val="18"/>
      <w:szCs w:val="18"/>
    </w:rPr>
  </w:style>
  <w:style w:type="paragraph" w:styleId="TOC6">
    <w:name w:val="toc 6"/>
    <w:basedOn w:val="TOC2"/>
    <w:next w:val="Normal"/>
    <w:uiPriority w:val="39"/>
    <w:pPr>
      <w:ind w:left="1000"/>
    </w:pPr>
    <w:rPr>
      <w:smallCaps w:val="0"/>
      <w:sz w:val="18"/>
      <w:szCs w:val="18"/>
    </w:rPr>
  </w:style>
  <w:style w:type="paragraph" w:styleId="TOC7">
    <w:name w:val="toc 7"/>
    <w:basedOn w:val="TOC2"/>
    <w:next w:val="Normal"/>
    <w:uiPriority w:val="39"/>
    <w:pPr>
      <w:ind w:left="1200"/>
    </w:pPr>
    <w:rPr>
      <w:smallCaps w:val="0"/>
      <w:sz w:val="18"/>
      <w:szCs w:val="18"/>
    </w:rPr>
  </w:style>
  <w:style w:type="paragraph" w:styleId="TOC8">
    <w:name w:val="toc 8"/>
    <w:basedOn w:val="TOC2"/>
    <w:next w:val="Normal"/>
    <w:uiPriority w:val="39"/>
    <w:pPr>
      <w:ind w:left="1400"/>
    </w:pPr>
    <w:rPr>
      <w:smallCaps w:val="0"/>
      <w:sz w:val="18"/>
      <w:szCs w:val="18"/>
    </w:rPr>
  </w:style>
  <w:style w:type="paragraph" w:styleId="TOC9">
    <w:name w:val="toc 9"/>
    <w:basedOn w:val="TOC2"/>
    <w:next w:val="Normal"/>
    <w:uiPriority w:val="39"/>
    <w:pPr>
      <w:ind w:left="1600"/>
    </w:pPr>
    <w:rPr>
      <w:smallCaps w:val="0"/>
      <w:sz w:val="18"/>
      <w:szCs w:val="18"/>
    </w:rPr>
  </w:style>
  <w:style w:type="paragraph" w:customStyle="1" w:styleId="Gliederungslinie">
    <w:name w:val="Gliederungslinie"/>
    <w:basedOn w:val="Normal"/>
    <w:next w:val="Absatz"/>
    <w:qFormat/>
    <w:pPr>
      <w:pBdr>
        <w:top w:val="single" w:sz="6" w:space="3" w:color="00000A"/>
      </w:pBdr>
      <w:spacing w:line="255" w:lineRule="exact"/>
      <w:ind w:left="1729"/>
    </w:pPr>
    <w:rPr>
      <w:rFonts w:ascii="Times New Roman" w:hAnsi="Times New Roman"/>
    </w:rPr>
  </w:style>
  <w:style w:type="paragraph" w:customStyle="1" w:styleId="ToterKolumnentitellinks">
    <w:name w:val="Toter Kolumnentitellinks"/>
    <w:qFormat/>
    <w:pPr>
      <w:spacing w:line="142" w:lineRule="exact"/>
    </w:pPr>
    <w:rPr>
      <w:sz w:val="16"/>
      <w:lang w:val="de-DE" w:eastAsia="de-DE"/>
    </w:rPr>
  </w:style>
  <w:style w:type="paragraph" w:customStyle="1" w:styleId="Dokumentnamelinks">
    <w:name w:val="Dokumentname links"/>
    <w:qFormat/>
    <w:rPr>
      <w:sz w:val="16"/>
      <w:lang w:val="de-DE" w:eastAsia="de-DE"/>
    </w:rPr>
  </w:style>
  <w:style w:type="paragraph" w:customStyle="1" w:styleId="Dokumentnamerechts">
    <w:name w:val="Dokumentname rechts"/>
    <w:qFormat/>
    <w:rPr>
      <w:sz w:val="16"/>
      <w:lang w:val="de-DE" w:eastAsia="de-DE"/>
    </w:rPr>
  </w:style>
  <w:style w:type="paragraph" w:customStyle="1" w:styleId="ToterKolumnentitelrechts">
    <w:name w:val="Toter Kolumnentitelrechts"/>
    <w:qFormat/>
    <w:pPr>
      <w:spacing w:line="142" w:lineRule="exact"/>
      <w:jc w:val="right"/>
    </w:pPr>
    <w:rPr>
      <w:sz w:val="16"/>
      <w:lang w:val="de-DE" w:eastAsia="de-DE"/>
    </w:rPr>
  </w:style>
  <w:style w:type="paragraph" w:customStyle="1" w:styleId="Paginarechts">
    <w:name w:val="Pagina rechts"/>
    <w:qFormat/>
    <w:pPr>
      <w:jc w:val="right"/>
    </w:pPr>
    <w:rPr>
      <w:sz w:val="22"/>
      <w:lang w:val="de-DE" w:eastAsia="de-DE"/>
    </w:rPr>
  </w:style>
  <w:style w:type="paragraph" w:customStyle="1" w:styleId="berschriftInhalt">
    <w:name w:val="Überschrift Inhalt"/>
    <w:basedOn w:val="Normal"/>
    <w:next w:val="Normal"/>
    <w:qFormat/>
    <w:pPr>
      <w:keepNext/>
      <w:spacing w:after="1020" w:line="383" w:lineRule="exact"/>
    </w:pPr>
    <w:rPr>
      <w:sz w:val="30"/>
    </w:rPr>
  </w:style>
  <w:style w:type="paragraph" w:styleId="FootnoteText">
    <w:name w:val="footnote text"/>
    <w:basedOn w:val="Normal"/>
    <w:link w:val="FootnoteTextChar"/>
  </w:style>
  <w:style w:type="paragraph" w:styleId="EndnoteText">
    <w:name w:val="endnote text"/>
    <w:basedOn w:val="Normal"/>
    <w:semiHidden/>
    <w:qFormat/>
    <w:pPr>
      <w:spacing w:line="198" w:lineRule="exact"/>
      <w:ind w:left="284" w:hanging="284"/>
    </w:pPr>
    <w:rPr>
      <w:rFonts w:ascii="Times New Roman" w:hAnsi="Times New Roman"/>
    </w:rPr>
  </w:style>
  <w:style w:type="paragraph" w:customStyle="1" w:styleId="AbsatzohneAbstandnach">
    <w:name w:val="Absatz ohne Abstand nach"/>
    <w:basedOn w:val="Absatz"/>
    <w:qFormat/>
  </w:style>
  <w:style w:type="paragraph" w:customStyle="1" w:styleId="Bildunterschrift">
    <w:name w:val="Bildunterschrift"/>
    <w:basedOn w:val="Normal"/>
    <w:qFormat/>
    <w:pPr>
      <w:spacing w:line="198" w:lineRule="exact"/>
    </w:pPr>
    <w:rPr>
      <w:rFonts w:ascii="Times New Roman" w:hAnsi="Times New Roman"/>
    </w:rPr>
  </w:style>
  <w:style w:type="paragraph" w:styleId="TableofFigures">
    <w:name w:val="table of figures"/>
    <w:basedOn w:val="Normal"/>
    <w:next w:val="Normal"/>
    <w:semiHidden/>
    <w:qFormat/>
    <w:pPr>
      <w:tabs>
        <w:tab w:val="right" w:pos="9214"/>
      </w:tabs>
      <w:spacing w:line="255" w:lineRule="exact"/>
      <w:ind w:left="1729"/>
    </w:pPr>
    <w:rPr>
      <w:rFonts w:ascii="Times New Roman" w:hAnsi="Times New Roman"/>
    </w:rPr>
  </w:style>
  <w:style w:type="paragraph" w:customStyle="1" w:styleId="Tabellenformat">
    <w:name w:val="Tabellenformat"/>
    <w:basedOn w:val="Normal"/>
    <w:qFormat/>
    <w:pPr>
      <w:spacing w:before="100" w:after="100"/>
    </w:pPr>
  </w:style>
  <w:style w:type="paragraph" w:styleId="CommentText">
    <w:name w:val="annotation text"/>
    <w:basedOn w:val="Normal"/>
    <w:link w:val="CommentTextChar"/>
    <w:qFormat/>
  </w:style>
  <w:style w:type="paragraph" w:styleId="DocumentMap">
    <w:name w:val="Document Map"/>
    <w:basedOn w:val="Normal"/>
    <w:semiHidden/>
    <w:qFormat/>
    <w:pPr>
      <w:shd w:val="clear" w:color="auto" w:fill="000080"/>
    </w:pPr>
    <w:rPr>
      <w:rFonts w:ascii="Tahoma" w:hAnsi="Tahoma"/>
    </w:rPr>
  </w:style>
  <w:style w:type="paragraph" w:styleId="BodyTextIndent">
    <w:name w:val="Body Text Indent"/>
    <w:basedOn w:val="BodyText"/>
    <w:qFormat/>
    <w:pPr>
      <w:spacing w:before="120" w:after="120" w:line="360" w:lineRule="auto"/>
      <w:ind w:firstLine="210"/>
    </w:pPr>
  </w:style>
  <w:style w:type="paragraph" w:customStyle="1" w:styleId="Kopzeile-fett">
    <w:name w:val="Kopzeile-fett"/>
    <w:basedOn w:val="Header"/>
    <w:qFormat/>
    <w:pPr>
      <w:spacing w:after="120"/>
    </w:pPr>
    <w:rPr>
      <w:b/>
      <w:sz w:val="20"/>
    </w:rPr>
  </w:style>
  <w:style w:type="paragraph" w:styleId="BodyText2">
    <w:name w:val="Body Text 2"/>
    <w:basedOn w:val="Normal"/>
    <w:qFormat/>
    <w:pPr>
      <w:spacing w:before="60" w:after="60"/>
    </w:pPr>
    <w:rPr>
      <w:i/>
      <w:color w:val="0000FF"/>
    </w:rPr>
  </w:style>
  <w:style w:type="paragraph" w:customStyle="1" w:styleId="Standard-fett">
    <w:name w:val="Standard-fett"/>
    <w:basedOn w:val="Normal"/>
    <w:qFormat/>
    <w:pPr>
      <w:spacing w:before="60" w:after="60"/>
    </w:pPr>
    <w:rPr>
      <w:b/>
    </w:rPr>
  </w:style>
  <w:style w:type="paragraph" w:customStyle="1" w:styleId="Official-Use">
    <w:name w:val="Official-Use"/>
    <w:basedOn w:val="Normal"/>
    <w:qFormat/>
    <w:pPr>
      <w:spacing w:before="60" w:after="60"/>
      <w:jc w:val="center"/>
    </w:pPr>
    <w:rPr>
      <w:sz w:val="16"/>
    </w:rPr>
  </w:style>
  <w:style w:type="paragraph" w:customStyle="1" w:styleId="SectionHeader">
    <w:name w:val="SectionHeader"/>
    <w:basedOn w:val="Normal"/>
    <w:qFormat/>
    <w:pPr>
      <w:spacing w:before="60" w:after="60"/>
    </w:pPr>
    <w:rPr>
      <w:b/>
      <w:sz w:val="24"/>
    </w:rPr>
  </w:style>
  <w:style w:type="paragraph" w:customStyle="1" w:styleId="Kopfzeile-fett-rechts">
    <w:name w:val="Kopfzeile-fett-rechts"/>
    <w:basedOn w:val="Kopzeile-fett"/>
    <w:qFormat/>
    <w:pPr>
      <w:jc w:val="right"/>
    </w:pPr>
    <w:rPr>
      <w:lang w:val="en-GB"/>
    </w:rPr>
  </w:style>
  <w:style w:type="paragraph" w:styleId="EnvelopeReturn">
    <w:name w:val="envelope return"/>
    <w:basedOn w:val="Normal"/>
    <w:qFormat/>
    <w:rPr>
      <w:rFonts w:ascii="Arial" w:hAnsi="Arial"/>
    </w:rPr>
  </w:style>
  <w:style w:type="paragraph" w:styleId="Salutation">
    <w:name w:val="Salutation"/>
    <w:basedOn w:val="Normal"/>
    <w:next w:val="Normal"/>
  </w:style>
  <w:style w:type="paragraph" w:styleId="ListBullet">
    <w:name w:val="List Bullet"/>
    <w:basedOn w:val="Normal"/>
    <w:autoRedefine/>
    <w:qFormat/>
    <w:pPr>
      <w:tabs>
        <w:tab w:val="left" w:pos="360"/>
      </w:tabs>
      <w:ind w:left="360" w:hanging="360"/>
    </w:pPr>
  </w:style>
  <w:style w:type="paragraph" w:styleId="ListBullet2">
    <w:name w:val="List Bullet 2"/>
    <w:basedOn w:val="Normal"/>
    <w:autoRedefine/>
    <w:qFormat/>
    <w:pPr>
      <w:tabs>
        <w:tab w:val="left" w:pos="643"/>
      </w:tabs>
      <w:ind w:left="643" w:hanging="360"/>
    </w:pPr>
  </w:style>
  <w:style w:type="paragraph" w:styleId="ListBullet3">
    <w:name w:val="List Bullet 3"/>
    <w:basedOn w:val="Normal"/>
    <w:pPr>
      <w:ind w:left="566" w:hanging="283"/>
    </w:pPr>
  </w:style>
  <w:style w:type="paragraph" w:styleId="ListBullet4">
    <w:name w:val="List Bullet 4"/>
    <w:basedOn w:val="Normal"/>
    <w:pPr>
      <w:ind w:left="849" w:hanging="283"/>
    </w:pPr>
  </w:style>
  <w:style w:type="paragraph" w:styleId="ListBullet5">
    <w:name w:val="List Bullet 5"/>
    <w:basedOn w:val="Normal"/>
    <w:pPr>
      <w:ind w:left="1132" w:hanging="283"/>
    </w:pPr>
  </w:style>
  <w:style w:type="paragraph" w:styleId="BlockText">
    <w:name w:val="Block Text"/>
    <w:basedOn w:val="Normal"/>
    <w:qFormat/>
    <w:pPr>
      <w:ind w:left="1440" w:right="1440"/>
    </w:pPr>
  </w:style>
  <w:style w:type="paragraph" w:styleId="Date">
    <w:name w:val="Date"/>
    <w:basedOn w:val="Normal"/>
    <w:next w:val="Normal"/>
    <w:qFormat/>
  </w:style>
  <w:style w:type="paragraph" w:styleId="NoteHeading">
    <w:name w:val="Note Heading"/>
    <w:basedOn w:val="Normal"/>
    <w:next w:val="Normal"/>
    <w:qFormat/>
  </w:style>
  <w:style w:type="paragraph" w:styleId="Closing">
    <w:name w:val="Closing"/>
    <w:basedOn w:val="Normal"/>
    <w:qFormat/>
    <w:pPr>
      <w:ind w:left="4252"/>
    </w:pPr>
  </w:style>
  <w:style w:type="paragraph" w:styleId="Index3">
    <w:name w:val="index 3"/>
    <w:basedOn w:val="Normal"/>
    <w:next w:val="Normal"/>
    <w:autoRedefine/>
    <w:semiHidden/>
    <w:qFormat/>
    <w:pPr>
      <w:ind w:left="660" w:hanging="220"/>
    </w:pPr>
  </w:style>
  <w:style w:type="paragraph" w:styleId="Index4">
    <w:name w:val="index 4"/>
    <w:basedOn w:val="Normal"/>
    <w:next w:val="Normal"/>
    <w:autoRedefine/>
    <w:semiHidden/>
    <w:qFormat/>
    <w:pPr>
      <w:ind w:left="880" w:hanging="220"/>
    </w:pPr>
  </w:style>
  <w:style w:type="paragraph" w:styleId="Index5">
    <w:name w:val="index 5"/>
    <w:basedOn w:val="Normal"/>
    <w:next w:val="Normal"/>
    <w:autoRedefine/>
    <w:semiHidden/>
    <w:qFormat/>
    <w:pPr>
      <w:ind w:left="1100" w:hanging="220"/>
    </w:pPr>
  </w:style>
  <w:style w:type="paragraph" w:styleId="Index6">
    <w:name w:val="index 6"/>
    <w:basedOn w:val="Normal"/>
    <w:next w:val="Normal"/>
    <w:autoRedefine/>
    <w:semiHidden/>
    <w:qFormat/>
    <w:pPr>
      <w:ind w:left="1320" w:hanging="220"/>
    </w:pPr>
  </w:style>
  <w:style w:type="paragraph" w:styleId="Index7">
    <w:name w:val="index 7"/>
    <w:basedOn w:val="Normal"/>
    <w:next w:val="Normal"/>
    <w:autoRedefine/>
    <w:semiHidden/>
    <w:qFormat/>
    <w:pPr>
      <w:ind w:left="1540" w:hanging="220"/>
    </w:pPr>
  </w:style>
  <w:style w:type="paragraph" w:styleId="Index8">
    <w:name w:val="index 8"/>
    <w:basedOn w:val="Normal"/>
    <w:next w:val="Normal"/>
    <w:autoRedefine/>
    <w:semiHidden/>
    <w:qFormat/>
    <w:pPr>
      <w:ind w:left="1760" w:hanging="220"/>
    </w:pPr>
  </w:style>
  <w:style w:type="paragraph" w:styleId="Index9">
    <w:name w:val="index 9"/>
    <w:basedOn w:val="Normal"/>
    <w:next w:val="Normal"/>
    <w:autoRedefine/>
    <w:semiHidden/>
    <w:qFormat/>
    <w:pPr>
      <w:ind w:left="1980" w:hanging="220"/>
    </w:pPr>
  </w:style>
  <w:style w:type="paragraph" w:styleId="ListNumber">
    <w:name w:val="List Number"/>
    <w:basedOn w:val="Normal"/>
    <w:qFormat/>
    <w:pPr>
      <w:tabs>
        <w:tab w:val="left" w:pos="360"/>
      </w:tabs>
      <w:ind w:left="360" w:hanging="360"/>
    </w:pPr>
  </w:style>
  <w:style w:type="paragraph" w:styleId="ListContinue">
    <w:name w:val="List Continue"/>
    <w:basedOn w:val="Normal"/>
    <w:qFormat/>
    <w:pPr>
      <w:ind w:left="283"/>
    </w:pPr>
  </w:style>
  <w:style w:type="paragraph" w:styleId="ListContinue2">
    <w:name w:val="List Continue 2"/>
    <w:basedOn w:val="Normal"/>
    <w:qFormat/>
    <w:pPr>
      <w:ind w:left="566"/>
    </w:pPr>
  </w:style>
  <w:style w:type="paragraph" w:styleId="ListContinue3">
    <w:name w:val="List Continue 3"/>
    <w:basedOn w:val="Normal"/>
    <w:qFormat/>
    <w:pPr>
      <w:ind w:left="849"/>
    </w:pPr>
  </w:style>
  <w:style w:type="paragraph" w:styleId="ListContinue4">
    <w:name w:val="List Continue 4"/>
    <w:basedOn w:val="Normal"/>
    <w:qFormat/>
    <w:pPr>
      <w:ind w:left="1132"/>
    </w:pPr>
  </w:style>
  <w:style w:type="paragraph" w:styleId="ListContinue5">
    <w:name w:val="List Continue 5"/>
    <w:basedOn w:val="Normal"/>
    <w:qFormat/>
    <w:pPr>
      <w:ind w:left="1415"/>
    </w:pPr>
  </w:style>
  <w:style w:type="paragraph" w:styleId="ListNumber2">
    <w:name w:val="List Number 2"/>
    <w:basedOn w:val="Normal"/>
    <w:qFormat/>
    <w:pPr>
      <w:tabs>
        <w:tab w:val="left" w:pos="643"/>
      </w:tabs>
      <w:ind w:left="643" w:hanging="360"/>
    </w:pPr>
  </w:style>
  <w:style w:type="paragraph" w:styleId="ListNumber3">
    <w:name w:val="List Number 3"/>
    <w:basedOn w:val="Normal"/>
    <w:qFormat/>
    <w:pPr>
      <w:tabs>
        <w:tab w:val="left" w:pos="926"/>
      </w:tabs>
      <w:ind w:left="926" w:hanging="360"/>
    </w:pPr>
  </w:style>
  <w:style w:type="paragraph" w:styleId="ListNumber4">
    <w:name w:val="List Number 4"/>
    <w:basedOn w:val="Normal"/>
    <w:qFormat/>
    <w:pPr>
      <w:tabs>
        <w:tab w:val="left" w:pos="1209"/>
      </w:tabs>
      <w:ind w:left="1209" w:hanging="360"/>
    </w:pPr>
  </w:style>
  <w:style w:type="paragraph" w:styleId="ListNumber5">
    <w:name w:val="List Number 5"/>
    <w:basedOn w:val="Normal"/>
    <w:qFormat/>
    <w:pPr>
      <w:tabs>
        <w:tab w:val="left" w:pos="1492"/>
      </w:tabs>
      <w:ind w:left="1492" w:hanging="360"/>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sz w:val="24"/>
    </w:rPr>
  </w:style>
  <w:style w:type="paragraph" w:styleId="PlainText">
    <w:name w:val="Plain Text"/>
    <w:basedOn w:val="Normal"/>
    <w:link w:val="PlainTextChar"/>
    <w:uiPriority w:val="99"/>
    <w:qFormat/>
    <w:rPr>
      <w:rFonts w:ascii="Courier New" w:hAnsi="Courier New"/>
    </w:rPr>
  </w:style>
  <w:style w:type="paragraph" w:styleId="NormalIndent">
    <w:name w:val="Normal Indent"/>
    <w:basedOn w:val="Normal"/>
    <w:qFormat/>
    <w:pPr>
      <w:ind w:left="708"/>
    </w:pPr>
  </w:style>
  <w:style w:type="paragraph" w:styleId="BodyText3">
    <w:name w:val="Body Text 3"/>
    <w:basedOn w:val="Normal"/>
    <w:qFormat/>
    <w:rPr>
      <w:sz w:val="16"/>
    </w:rPr>
  </w:style>
  <w:style w:type="paragraph" w:styleId="BodyTextIndent2">
    <w:name w:val="Body Text Indent 2"/>
    <w:basedOn w:val="Normal"/>
    <w:link w:val="BodyTextIndent2Char"/>
    <w:qFormat/>
    <w:pPr>
      <w:spacing w:line="480" w:lineRule="auto"/>
      <w:ind w:left="283"/>
    </w:pPr>
  </w:style>
  <w:style w:type="paragraph" w:styleId="BodyTextIndent3">
    <w:name w:val="Body Text Indent 3"/>
    <w:basedOn w:val="Normal"/>
    <w:qFormat/>
    <w:pPr>
      <w:ind w:left="283"/>
    </w:pPr>
    <w:rPr>
      <w:sz w:val="16"/>
    </w:rPr>
  </w:style>
  <w:style w:type="paragraph" w:styleId="BodyTextFirstIndent2">
    <w:name w:val="Body Text First Indent 2"/>
    <w:basedOn w:val="BodyTextIndent"/>
    <w:qFormat/>
    <w:pPr>
      <w:ind w:left="283"/>
    </w:pPr>
    <w:rPr>
      <w:sz w:val="22"/>
    </w:rPr>
  </w:style>
  <w:style w:type="paragraph" w:styleId="Title">
    <w:name w:val="Title"/>
    <w:basedOn w:val="Normal"/>
    <w:link w:val="TitleChar"/>
    <w:qFormat/>
    <w:rsid w:val="00CB3740"/>
    <w:pPr>
      <w:spacing w:before="240" w:after="60"/>
      <w:ind w:left="1701" w:hanging="1701"/>
      <w:outlineLvl w:val="0"/>
    </w:pPr>
    <w:rPr>
      <w:rFonts w:eastAsia="Calibri"/>
      <w:b/>
      <w:sz w:val="28"/>
      <w:szCs w:val="36"/>
      <w:lang w:eastAsia="en-US"/>
    </w:rPr>
  </w:style>
  <w:style w:type="paragraph" w:styleId="EnvelopeAddress">
    <w:name w:val="envelope address"/>
    <w:basedOn w:val="Normal"/>
    <w:qFormat/>
    <w:pPr>
      <w:ind w:left="1"/>
    </w:pPr>
    <w:rPr>
      <w:rFonts w:ascii="Arial" w:hAnsi="Arial"/>
      <w:sz w:val="24"/>
    </w:rPr>
  </w:style>
  <w:style w:type="paragraph" w:styleId="Signature">
    <w:name w:val="Signature"/>
    <w:basedOn w:val="Normal"/>
    <w:pPr>
      <w:ind w:left="4252"/>
    </w:pPr>
  </w:style>
  <w:style w:type="paragraph" w:styleId="Subtitle">
    <w:name w:val="Subtitle"/>
    <w:basedOn w:val="Normal"/>
    <w:link w:val="SubtitleChar"/>
    <w:qFormat/>
    <w:rsid w:val="00D76050"/>
    <w:pPr>
      <w:spacing w:after="60"/>
      <w:outlineLvl w:val="1"/>
    </w:pPr>
    <w:rPr>
      <w:b/>
      <w:sz w:val="36"/>
      <w:szCs w:val="36"/>
    </w:rPr>
  </w:style>
  <w:style w:type="paragraph" w:styleId="TOAHeading">
    <w:name w:val="toa heading"/>
    <w:basedOn w:val="Normal"/>
    <w:next w:val="Normal"/>
    <w:semiHidden/>
    <w:qFormat/>
    <w:rPr>
      <w:rFonts w:ascii="Arial" w:hAnsi="Arial"/>
      <w:b/>
      <w:sz w:val="24"/>
    </w:rPr>
  </w:style>
  <w:style w:type="paragraph" w:styleId="TableofAuthorities">
    <w:name w:val="table of authorities"/>
    <w:basedOn w:val="Normal"/>
    <w:next w:val="Normal"/>
    <w:semiHidden/>
    <w:qFormat/>
    <w:pPr>
      <w:ind w:left="220" w:hanging="220"/>
    </w:pPr>
  </w:style>
  <w:style w:type="paragraph" w:customStyle="1" w:styleId="QuellenangabePagina">
    <w:name w:val="Quellenangabe/Pagina"/>
    <w:basedOn w:val="Normal"/>
    <w:qFormat/>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qFormat/>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qFormat/>
    <w:pPr>
      <w:keepNext/>
      <w:keepLines/>
      <w:spacing w:before="60" w:after="60"/>
    </w:pPr>
    <w:rPr>
      <w:i/>
      <w:color w:val="000000"/>
    </w:rPr>
  </w:style>
  <w:style w:type="paragraph" w:customStyle="1" w:styleId="SectionHeader-Crossref">
    <w:name w:val="SectionHeader-Crossref"/>
    <w:basedOn w:val="Normal"/>
    <w:qFormat/>
    <w:pPr>
      <w:spacing w:before="60" w:after="60"/>
    </w:pPr>
    <w:rPr>
      <w:b/>
    </w:rPr>
  </w:style>
  <w:style w:type="paragraph" w:customStyle="1" w:styleId="Standard-kurs-rot">
    <w:name w:val="Standard-kurs-rot"/>
    <w:basedOn w:val="Normal"/>
    <w:qFormat/>
    <w:pPr>
      <w:keepNext/>
      <w:spacing w:before="60" w:after="60"/>
    </w:pPr>
    <w:rPr>
      <w:i/>
      <w:color w:val="FF0000"/>
    </w:rPr>
  </w:style>
  <w:style w:type="paragraph" w:customStyle="1" w:styleId="Tabellenformat1-zeilig">
    <w:name w:val="Tabellenformat 1-zeilig"/>
    <w:basedOn w:val="Tabellenformat"/>
    <w:qFormat/>
    <w:pPr>
      <w:spacing w:before="60" w:after="60"/>
    </w:pPr>
  </w:style>
  <w:style w:type="paragraph" w:customStyle="1" w:styleId="Absatz1-zeilig">
    <w:name w:val="Absatz 1-zeilig"/>
    <w:basedOn w:val="Absatz"/>
    <w:qFormat/>
    <w:pPr>
      <w:spacing w:before="60" w:after="60"/>
    </w:pPr>
  </w:style>
  <w:style w:type="paragraph" w:customStyle="1" w:styleId="Standard1-zeilig">
    <w:name w:val="Standard 1-zeilig"/>
    <w:basedOn w:val="Normal"/>
    <w:qFormat/>
  </w:style>
  <w:style w:type="paragraph" w:customStyle="1" w:styleId="Standard-italics">
    <w:name w:val="Standard-italics"/>
    <w:basedOn w:val="Normal"/>
    <w:qFormat/>
    <w:pPr>
      <w:keepNext/>
      <w:spacing w:before="60" w:after="60"/>
    </w:pPr>
    <w:rPr>
      <w:i/>
    </w:rPr>
  </w:style>
  <w:style w:type="paragraph" w:customStyle="1" w:styleId="Kopfzeile-fett-zentr">
    <w:name w:val="Kopfzeile-fett-zentr"/>
    <w:basedOn w:val="Kopzeile-fett"/>
    <w:qFormat/>
    <w:pPr>
      <w:jc w:val="center"/>
    </w:pPr>
  </w:style>
  <w:style w:type="paragraph" w:customStyle="1" w:styleId="Standard-kursiv-blau">
    <w:name w:val="Standard-kursiv-blau"/>
    <w:basedOn w:val="Normal"/>
    <w:qFormat/>
    <w:pPr>
      <w:keepNext/>
      <w:spacing w:before="60" w:after="60"/>
    </w:pPr>
    <w:rPr>
      <w:i/>
      <w:color w:val="000000"/>
    </w:rPr>
  </w:style>
  <w:style w:type="paragraph" w:customStyle="1" w:styleId="Kopfzeile-fett-Rahmen">
    <w:name w:val="Kopfzeile-fett-Rahmen"/>
    <w:basedOn w:val="Kopzeile-fett"/>
    <w:qFormat/>
    <w:pPr>
      <w:pBdr>
        <w:bottom w:val="single" w:sz="4" w:space="5" w:color="00000A"/>
      </w:pBdr>
    </w:pPr>
  </w:style>
  <w:style w:type="paragraph" w:customStyle="1" w:styleId="SFHeader2101">
    <w:name w:val="*SF:Header 2.10.1"/>
    <w:qFormat/>
    <w:pPr>
      <w:spacing w:before="60" w:after="60"/>
    </w:pPr>
    <w:rPr>
      <w:b/>
      <w:color w:val="000000"/>
      <w:lang w:val="en-GB" w:eastAsia="de-DE"/>
    </w:rPr>
  </w:style>
  <w:style w:type="paragraph" w:customStyle="1" w:styleId="Tabellenformat1-zeiligfett">
    <w:name w:val="Tabellenformat 1-zeilig fett"/>
    <w:basedOn w:val="Tabellenformat1-zeilig"/>
    <w:qFormat/>
    <w:rPr>
      <w:b/>
    </w:rPr>
  </w:style>
  <w:style w:type="paragraph" w:customStyle="1" w:styleId="Fig-Arial10ptzentriert">
    <w:name w:val="Fig-Arial10pt zentriert"/>
    <w:qFormat/>
    <w:pPr>
      <w:spacing w:line="200" w:lineRule="exact"/>
      <w:jc w:val="center"/>
    </w:pPr>
    <w:rPr>
      <w:rFonts w:ascii="Arial" w:hAnsi="Arial"/>
      <w:lang w:val="de-DE" w:eastAsia="de-DE"/>
    </w:rPr>
  </w:style>
  <w:style w:type="paragraph" w:customStyle="1" w:styleId="Fig-Text8pt">
    <w:name w:val="Fig-Text8pt"/>
    <w:basedOn w:val="Fig-Arial10ptzentriert"/>
    <w:qFormat/>
    <w:pPr>
      <w:spacing w:line="240" w:lineRule="auto"/>
      <w:jc w:val="left"/>
    </w:pPr>
    <w:rPr>
      <w:sz w:val="16"/>
      <w:lang w:val="en-GB"/>
    </w:rPr>
  </w:style>
  <w:style w:type="paragraph" w:customStyle="1" w:styleId="Standard-fett1cmhngend">
    <w:name w:val="Standard-fett 1cm hängend"/>
    <w:basedOn w:val="Standard-fett"/>
    <w:qFormat/>
    <w:pPr>
      <w:tabs>
        <w:tab w:val="left" w:pos="567"/>
      </w:tabs>
      <w:ind w:left="567" w:hanging="567"/>
    </w:pPr>
  </w:style>
  <w:style w:type="paragraph" w:styleId="BalloonText">
    <w:name w:val="Balloon Text"/>
    <w:basedOn w:val="Normal"/>
    <w:link w:val="BalloonTextChar"/>
    <w:qFormat/>
    <w:rsid w:val="00B26DCE"/>
    <w:rPr>
      <w:rFonts w:ascii="Tahoma" w:hAnsi="Tahoma" w:cs="Tahoma"/>
      <w:sz w:val="16"/>
      <w:szCs w:val="16"/>
    </w:rPr>
  </w:style>
  <w:style w:type="paragraph" w:customStyle="1" w:styleId="Tabletext">
    <w:name w:val="Table text"/>
    <w:link w:val="TabletextCar"/>
    <w:qFormat/>
    <w:rsid w:val="00277D5D"/>
    <w:pPr>
      <w:keepNext/>
      <w:keepLines/>
      <w:spacing w:before="54" w:after="54"/>
    </w:pPr>
    <w:rPr>
      <w:lang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paragraph" w:customStyle="1" w:styleId="Default">
    <w:name w:val="Default"/>
    <w:qFormat/>
    <w:rsid w:val="002B4BFB"/>
    <w:rPr>
      <w:color w:val="000000"/>
      <w:sz w:val="24"/>
      <w:szCs w:val="24"/>
      <w:lang w:val="en-GB" w:eastAsia="en-GB"/>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paragraph" w:styleId="CommentSubject">
    <w:name w:val="annotation subject"/>
    <w:basedOn w:val="CommentText"/>
    <w:link w:val="CommentSubjectChar"/>
    <w:qFormat/>
    <w:rsid w:val="00D21B1D"/>
    <w:rPr>
      <w:b/>
      <w:bCs/>
    </w:rPr>
  </w:style>
  <w:style w:type="paragraph" w:customStyle="1" w:styleId="CM43">
    <w:name w:val="CM4+3"/>
    <w:basedOn w:val="Default"/>
    <w:next w:val="Default"/>
    <w:uiPriority w:val="99"/>
    <w:qFormat/>
    <w:rsid w:val="00520109"/>
    <w:rPr>
      <w:color w:val="00000A"/>
    </w:rPr>
  </w:style>
  <w:style w:type="paragraph" w:customStyle="1" w:styleId="ManualNumPar1">
    <w:name w:val="Manual NumPar 1"/>
    <w:basedOn w:val="Normal"/>
    <w:next w:val="Normal"/>
    <w:qFormat/>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qFormat/>
    <w:rsid w:val="00385DCD"/>
    <w:pPr>
      <w:widowControl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spacing w:before="200" w:after="120"/>
    </w:pPr>
    <w:rPr>
      <w:rFonts w:ascii="Times" w:hAnsi="Times"/>
      <w:b/>
      <w:color w:val="000000"/>
      <w:szCs w:val="24"/>
      <w:lang w:eastAsia="en-GB"/>
    </w:rPr>
  </w:style>
  <w:style w:type="paragraph" w:customStyle="1" w:styleId="Inhaltsverzeichnisberschrift">
    <w:name w:val="Inhaltsverzeichnisüberschrift"/>
    <w:basedOn w:val="Heading1"/>
    <w:next w:val="Normal"/>
    <w:uiPriority w:val="39"/>
    <w:qFormat/>
    <w:rsid w:val="00E624F9"/>
    <w:pPr>
      <w:keepLines/>
      <w:numPr>
        <w:numId w:val="0"/>
      </w:numPr>
      <w:spacing w:before="480" w:after="0" w:line="276" w:lineRule="auto"/>
    </w:pPr>
    <w:rPr>
      <w:rFonts w:ascii="Cambria" w:eastAsia="MS Gothic" w:hAnsi="Cambria"/>
      <w:bCs/>
      <w:caps w:val="0"/>
      <w:color w:val="365F91"/>
      <w:szCs w:val="28"/>
      <w:lang w:val="en-US" w:eastAsia="ja-JP"/>
    </w:rPr>
  </w:style>
  <w:style w:type="paragraph" w:customStyle="1" w:styleId="berarbeitung">
    <w:name w:val="Überarbeitung"/>
    <w:semiHidden/>
    <w:qFormat/>
    <w:rsid w:val="005832F3"/>
    <w:rPr>
      <w:rFonts w:ascii="Verdana" w:hAnsi="Verdana"/>
      <w:lang w:val="de-DE" w:eastAsia="de-DE"/>
    </w:rPr>
  </w:style>
  <w:style w:type="paragraph" w:customStyle="1" w:styleId="CM1">
    <w:name w:val="CM1"/>
    <w:basedOn w:val="Default"/>
    <w:next w:val="Default"/>
    <w:uiPriority w:val="99"/>
    <w:qFormat/>
    <w:rsid w:val="00F377A1"/>
    <w:rPr>
      <w:rFonts w:ascii="EUAlbertina" w:hAnsi="EUAlbertina"/>
      <w:color w:val="00000A"/>
    </w:rPr>
  </w:style>
  <w:style w:type="paragraph" w:customStyle="1" w:styleId="CM3">
    <w:name w:val="CM3"/>
    <w:basedOn w:val="Default"/>
    <w:next w:val="Default"/>
    <w:uiPriority w:val="99"/>
    <w:qFormat/>
    <w:rsid w:val="00F377A1"/>
    <w:rPr>
      <w:rFonts w:ascii="EUAlbertina" w:hAnsi="EUAlbertina"/>
      <w:color w:val="00000A"/>
    </w:rPr>
  </w:style>
  <w:style w:type="paragraph" w:customStyle="1" w:styleId="CM4">
    <w:name w:val="CM4"/>
    <w:basedOn w:val="Normal"/>
    <w:next w:val="Normal"/>
    <w:uiPriority w:val="99"/>
    <w:qFormat/>
    <w:rsid w:val="005F0919"/>
    <w:rPr>
      <w:rFonts w:ascii="EUAlbertina" w:hAnsi="EUAlbertina"/>
      <w:sz w:val="24"/>
      <w:szCs w:val="24"/>
      <w:lang w:eastAsia="en-GB"/>
    </w:rPr>
  </w:style>
  <w:style w:type="paragraph" w:customStyle="1" w:styleId="Titel1">
    <w:name w:val="Titel 1"/>
    <w:basedOn w:val="Heading1"/>
    <w:next w:val="Normal"/>
    <w:qFormat/>
    <w:rsid w:val="00A53EE0"/>
    <w:pPr>
      <w:widowControl w:val="0"/>
      <w:numPr>
        <w:numId w:val="0"/>
      </w:numPr>
      <w:tabs>
        <w:tab w:val="left" w:pos="1304"/>
      </w:tabs>
      <w:suppressAutoHyphens/>
      <w:spacing w:before="480" w:after="120" w:line="400" w:lineRule="atLeast"/>
      <w:jc w:val="both"/>
    </w:pPr>
    <w:rPr>
      <w:rFonts w:eastAsia="Calibri"/>
      <w:bCs/>
      <w:lang w:eastAsia="en-US"/>
    </w:rPr>
  </w:style>
  <w:style w:type="paragraph" w:customStyle="1" w:styleId="Tablehead">
    <w:name w:val="Tablehead"/>
    <w:basedOn w:val="Normal"/>
    <w:link w:val="TableheadZchn"/>
    <w:qFormat/>
    <w:rsid w:val="00A53EE0"/>
    <w:rPr>
      <w:rFonts w:eastAsia="Calibri"/>
      <w:b/>
      <w:lang w:val="en-US"/>
    </w:rPr>
  </w:style>
  <w:style w:type="paragraph" w:customStyle="1" w:styleId="Tablebody">
    <w:name w:val="Tablebody"/>
    <w:basedOn w:val="Normal"/>
    <w:link w:val="TablebodyZchn"/>
    <w:qFormat/>
    <w:rsid w:val="00A53EE0"/>
    <w:rPr>
      <w:rFonts w:eastAsia="Calibri"/>
      <w:lang w:val="en-US"/>
    </w:rPr>
  </w:style>
  <w:style w:type="paragraph" w:customStyle="1" w:styleId="Tabpclist">
    <w:name w:val="Tab_pc_list"/>
    <w:basedOn w:val="Tablehead"/>
    <w:qFormat/>
    <w:rsid w:val="00A53EE0"/>
  </w:style>
  <w:style w:type="paragraph" w:customStyle="1" w:styleId="BfRBBStandard">
    <w:name w:val="BfR BB Standard"/>
    <w:link w:val="BfRBBStandardZchn"/>
    <w:qFormat/>
    <w:rsid w:val="00A53EE0"/>
    <w:pPr>
      <w:jc w:val="both"/>
    </w:pPr>
    <w:rPr>
      <w:rFonts w:ascii="Arial" w:eastAsia="Calibri" w:hAnsi="Arial" w:cs="Arial"/>
      <w:sz w:val="22"/>
      <w:szCs w:val="22"/>
      <w:lang w:eastAsia="de-DE"/>
    </w:rPr>
  </w:style>
  <w:style w:type="paragraph" w:customStyle="1" w:styleId="BfRBBberschrift2">
    <w:name w:val="BfR BB Überschrift 2"/>
    <w:qFormat/>
    <w:rsid w:val="00A53EE0"/>
    <w:pPr>
      <w:tabs>
        <w:tab w:val="left" w:pos="576"/>
        <w:tab w:val="left" w:pos="643"/>
      </w:tabs>
      <w:ind w:left="576" w:hanging="576"/>
      <w:jc w:val="both"/>
      <w:outlineLvl w:val="1"/>
    </w:pPr>
    <w:rPr>
      <w:rFonts w:ascii="Arial" w:eastAsia="Calibri" w:hAnsi="Arial" w:cs="Arial"/>
      <w:sz w:val="22"/>
      <w:szCs w:val="22"/>
      <w:u w:val="single"/>
      <w:lang w:eastAsia="de-DE"/>
    </w:rPr>
  </w:style>
  <w:style w:type="paragraph" w:customStyle="1" w:styleId="BfRBBberschrift3">
    <w:name w:val="BfR BB Überschrift 3"/>
    <w:basedOn w:val="Normal"/>
    <w:qFormat/>
    <w:rsid w:val="00A53EE0"/>
    <w:pPr>
      <w:tabs>
        <w:tab w:val="left" w:pos="643"/>
        <w:tab w:val="left" w:pos="720"/>
      </w:tabs>
      <w:ind w:left="720" w:hanging="720"/>
      <w:jc w:val="both"/>
      <w:outlineLvl w:val="2"/>
    </w:pPr>
    <w:rPr>
      <w:rFonts w:ascii="Arial" w:eastAsia="Calibri" w:hAnsi="Arial" w:cs="Arial"/>
      <w:i/>
      <w:iCs/>
      <w:szCs w:val="22"/>
      <w:lang w:val="de-DE"/>
    </w:rPr>
  </w:style>
  <w:style w:type="paragraph" w:customStyle="1" w:styleId="BfRBBTabelle">
    <w:name w:val="BfR BB Tabelle"/>
    <w:qFormat/>
    <w:rsid w:val="00A53EE0"/>
    <w:pPr>
      <w:spacing w:before="60" w:after="60"/>
      <w:ind w:left="57" w:right="57"/>
    </w:pPr>
    <w:rPr>
      <w:rFonts w:ascii="Arial" w:eastAsia="Calibri" w:hAnsi="Arial" w:cs="Arial"/>
      <w:lang w:eastAsia="de-DE"/>
    </w:rPr>
  </w:style>
  <w:style w:type="paragraph" w:customStyle="1" w:styleId="BfRBBTitel">
    <w:name w:val="BfR BB Titel"/>
    <w:qFormat/>
    <w:rsid w:val="00A53EE0"/>
    <w:pPr>
      <w:jc w:val="center"/>
      <w:outlineLvl w:val="0"/>
    </w:pPr>
    <w:rPr>
      <w:rFonts w:ascii="Arial" w:eastAsia="Calibri" w:hAnsi="Arial" w:cs="Arial"/>
      <w:b/>
      <w:bCs/>
      <w:sz w:val="24"/>
      <w:szCs w:val="24"/>
      <w:lang w:eastAsia="de-DE"/>
    </w:rPr>
  </w:style>
  <w:style w:type="paragraph" w:customStyle="1" w:styleId="BfRBBTabelleklein">
    <w:name w:val="BfR BB Tabelle klein"/>
    <w:qFormat/>
    <w:rsid w:val="00A53EE0"/>
    <w:pPr>
      <w:spacing w:before="40" w:after="40"/>
      <w:ind w:left="57" w:right="57"/>
    </w:pPr>
    <w:rPr>
      <w:rFonts w:ascii="Arial" w:eastAsia="Calibri" w:hAnsi="Arial" w:cs="Arial"/>
      <w:sz w:val="16"/>
      <w:szCs w:val="16"/>
      <w:lang w:eastAsia="de-DE"/>
    </w:rPr>
  </w:style>
  <w:style w:type="paragraph" w:customStyle="1" w:styleId="BfRBBberschrift1">
    <w:name w:val="BfR BB Überschrift 1"/>
    <w:qFormat/>
    <w:rsid w:val="00A53EE0"/>
    <w:pPr>
      <w:tabs>
        <w:tab w:val="left" w:pos="432"/>
      </w:tabs>
      <w:ind w:left="432" w:hanging="432"/>
      <w:jc w:val="both"/>
      <w:outlineLvl w:val="0"/>
    </w:pPr>
    <w:rPr>
      <w:rFonts w:ascii="Arial" w:eastAsia="Calibri" w:hAnsi="Arial" w:cs="Arial"/>
      <w:b/>
      <w:bCs/>
      <w:sz w:val="22"/>
      <w:szCs w:val="22"/>
      <w:lang w:eastAsia="de-DE"/>
    </w:rPr>
  </w:style>
  <w:style w:type="paragraph" w:customStyle="1" w:styleId="BfRBBBeschriftung">
    <w:name w:val="BfR BB Beschriftung"/>
    <w:qFormat/>
    <w:rsid w:val="00A53EE0"/>
    <w:pPr>
      <w:jc w:val="both"/>
    </w:pPr>
    <w:rPr>
      <w:rFonts w:ascii="Arial" w:eastAsia="Calibri" w:hAnsi="Arial" w:cs="Arial"/>
      <w:b/>
      <w:bCs/>
      <w:lang w:eastAsia="de-DE"/>
    </w:rPr>
  </w:style>
  <w:style w:type="paragraph" w:customStyle="1" w:styleId="Point1">
    <w:name w:val="Point 1"/>
    <w:basedOn w:val="Normal"/>
    <w:qFormat/>
    <w:rsid w:val="00A53EE0"/>
    <w:pPr>
      <w:spacing w:before="120" w:after="120"/>
      <w:ind w:left="1417" w:hanging="567"/>
      <w:jc w:val="both"/>
    </w:pPr>
    <w:rPr>
      <w:sz w:val="24"/>
    </w:rPr>
  </w:style>
  <w:style w:type="paragraph" w:styleId="NormalWeb">
    <w:name w:val="Normal (Web)"/>
    <w:basedOn w:val="Normal"/>
    <w:uiPriority w:val="99"/>
    <w:qFormat/>
    <w:rsid w:val="00A53EE0"/>
    <w:pPr>
      <w:spacing w:beforeAutospacing="1" w:after="119"/>
    </w:pPr>
    <w:rPr>
      <w:rFonts w:ascii="Arial Unicode MS" w:eastAsia="Arial Unicode MS" w:hAnsi="Arial Unicode MS" w:cs="Arial Unicode MS"/>
      <w:sz w:val="24"/>
      <w:lang w:eastAsia="en-US"/>
    </w:rPr>
  </w:style>
  <w:style w:type="paragraph" w:customStyle="1" w:styleId="CharChar4CharChar">
    <w:name w:val="Char Char4 Char Char"/>
    <w:basedOn w:val="Normal"/>
    <w:qFormat/>
    <w:rsid w:val="00A53EE0"/>
    <w:rPr>
      <w:rFonts w:ascii="Times New Roman" w:hAnsi="Times New Roman"/>
      <w:sz w:val="24"/>
      <w:szCs w:val="24"/>
      <w:lang w:val="pl-PL" w:eastAsia="pl-PL"/>
    </w:rPr>
  </w:style>
  <w:style w:type="paragraph" w:customStyle="1" w:styleId="Special">
    <w:name w:val="Special"/>
    <w:basedOn w:val="Normal"/>
    <w:next w:val="Normal"/>
    <w:uiPriority w:val="1"/>
    <w:qFormat/>
    <w:rsid w:val="00A53EE0"/>
    <w:pPr>
      <w:widowControl w:val="0"/>
    </w:pPr>
    <w:rPr>
      <w:rFonts w:cs="Times"/>
      <w:bCs/>
      <w:sz w:val="16"/>
      <w:szCs w:val="29"/>
      <w:lang w:val="de-DE"/>
    </w:rPr>
  </w:style>
  <w:style w:type="paragraph" w:styleId="ListParagraph">
    <w:name w:val="List Paragraph"/>
    <w:basedOn w:val="Normal"/>
    <w:uiPriority w:val="34"/>
    <w:qFormat/>
    <w:rsid w:val="00017CF8"/>
    <w:pPr>
      <w:ind w:left="720"/>
    </w:pPr>
  </w:style>
  <w:style w:type="paragraph" w:styleId="TOCHeading">
    <w:name w:val="TOC Heading"/>
    <w:basedOn w:val="Heading1"/>
    <w:next w:val="Normal"/>
    <w:uiPriority w:val="39"/>
    <w:qFormat/>
    <w:rsid w:val="00FD2055"/>
    <w:pPr>
      <w:keepLines/>
      <w:numPr>
        <w:numId w:val="0"/>
      </w:numPr>
      <w:spacing w:before="480" w:after="0" w:line="276" w:lineRule="auto"/>
    </w:pPr>
    <w:rPr>
      <w:rFonts w:ascii="Cambria" w:eastAsia="MS Gothic" w:hAnsi="Cambria"/>
      <w:bCs/>
      <w:caps w:val="0"/>
      <w:color w:val="365F91"/>
      <w:szCs w:val="28"/>
      <w:lang w:val="en-US" w:eastAsia="ja-JP"/>
    </w:rPr>
  </w:style>
  <w:style w:type="paragraph" w:styleId="Revision">
    <w:name w:val="Revision"/>
    <w:semiHidden/>
    <w:qFormat/>
    <w:rsid w:val="00FD2055"/>
    <w:rPr>
      <w:rFonts w:ascii="Verdana" w:hAnsi="Verdana"/>
      <w:lang w:val="de-DE" w:eastAsia="de-DE"/>
    </w:rPr>
  </w:style>
  <w:style w:type="paragraph" w:customStyle="1" w:styleId="Listenabsatz1">
    <w:name w:val="Listenabsatz1"/>
    <w:basedOn w:val="Normal"/>
    <w:uiPriority w:val="99"/>
    <w:qFormat/>
    <w:rsid w:val="007E37A7"/>
    <w:pPr>
      <w:ind w:left="720"/>
    </w:pPr>
  </w:style>
  <w:style w:type="paragraph" w:customStyle="1" w:styleId="Inhaltsverzeichnisberschrift1">
    <w:name w:val="Inhaltsverzeichnisüberschrift1"/>
    <w:basedOn w:val="Heading1"/>
    <w:next w:val="Normal"/>
    <w:uiPriority w:val="39"/>
    <w:qFormat/>
    <w:rsid w:val="007E37A7"/>
    <w:pPr>
      <w:keepLines/>
      <w:numPr>
        <w:numId w:val="0"/>
      </w:numPr>
      <w:spacing w:before="480" w:after="0" w:line="276" w:lineRule="auto"/>
    </w:pPr>
    <w:rPr>
      <w:rFonts w:ascii="Cambria" w:eastAsia="MS Gothic" w:hAnsi="Cambria"/>
      <w:bCs/>
      <w:caps w:val="0"/>
      <w:color w:val="365F91"/>
      <w:szCs w:val="28"/>
      <w:lang w:val="en-US" w:eastAsia="ja-JP"/>
    </w:rPr>
  </w:style>
  <w:style w:type="paragraph" w:customStyle="1" w:styleId="berarbeitung1">
    <w:name w:val="Überarbeitung1"/>
    <w:semiHidden/>
    <w:qFormat/>
    <w:rsid w:val="007E37A7"/>
    <w:rPr>
      <w:rFonts w:ascii="Verdana" w:hAnsi="Verdana"/>
      <w:lang w:val="de-DE" w:eastAsia="de-DE"/>
    </w:rPr>
  </w:style>
  <w:style w:type="paragraph" w:customStyle="1" w:styleId="Standard-fettChar">
    <w:name w:val="Standard-fett Char"/>
    <w:basedOn w:val="Normal"/>
    <w:qFormat/>
    <w:rsid w:val="007E37A7"/>
    <w:pPr>
      <w:spacing w:before="60" w:after="60" w:line="288" w:lineRule="auto"/>
      <w:jc w:val="both"/>
    </w:pPr>
    <w:rPr>
      <w:rFonts w:ascii="Times New Roman" w:hAnsi="Times New Roman"/>
      <w:b/>
      <w:sz w:val="22"/>
      <w:lang w:val="de-DE"/>
    </w:rPr>
  </w:style>
  <w:style w:type="paragraph" w:styleId="NoSpacing">
    <w:name w:val="No Spacing"/>
    <w:uiPriority w:val="1"/>
    <w:qFormat/>
    <w:rsid w:val="007E37A7"/>
    <w:rPr>
      <w:rFonts w:ascii="Calibri" w:eastAsia="Calibri" w:hAnsi="Calibri"/>
      <w:sz w:val="22"/>
      <w:szCs w:val="22"/>
      <w:lang w:val="pl-PL"/>
    </w:rPr>
  </w:style>
  <w:style w:type="paragraph" w:customStyle="1" w:styleId="opsomming">
    <w:name w:val="opsomming"/>
    <w:basedOn w:val="Normal"/>
    <w:qFormat/>
    <w:rsid w:val="007E37A7"/>
    <w:pPr>
      <w:textAlignment w:val="baseline"/>
    </w:pPr>
    <w:rPr>
      <w:rFonts w:ascii="Arial" w:hAnsi="Arial"/>
      <w:sz w:val="22"/>
      <w:lang w:eastAsia="nl-NL"/>
    </w:rPr>
  </w:style>
  <w:style w:type="paragraph" w:customStyle="1" w:styleId="CharChar2">
    <w:name w:val="Char Char2"/>
    <w:basedOn w:val="Normal"/>
    <w:qFormat/>
    <w:rsid w:val="007E37A7"/>
    <w:rPr>
      <w:rFonts w:ascii="Times New Roman" w:hAnsi="Times New Roman"/>
      <w:sz w:val="24"/>
      <w:szCs w:val="24"/>
      <w:lang w:val="pl-PL" w:eastAsia="pl-PL"/>
    </w:rPr>
  </w:style>
  <w:style w:type="paragraph" w:customStyle="1" w:styleId="BodyText21">
    <w:name w:val="Body Text 21"/>
    <w:basedOn w:val="Normal"/>
    <w:qFormat/>
    <w:rsid w:val="007E37A7"/>
    <w:pPr>
      <w:spacing w:before="180" w:after="180" w:line="360" w:lineRule="atLeast"/>
    </w:pPr>
    <w:rPr>
      <w:rFonts w:ascii="Times New Roman" w:hAnsi="Times New Roman"/>
      <w:sz w:val="24"/>
    </w:rPr>
  </w:style>
  <w:style w:type="paragraph" w:customStyle="1" w:styleId="TableTextChar">
    <w:name w:val="Table Text Char"/>
    <w:basedOn w:val="Normal"/>
    <w:link w:val="TableTextCharChar1"/>
    <w:qFormat/>
    <w:rsid w:val="007E37A7"/>
    <w:pPr>
      <w:tabs>
        <w:tab w:val="left" w:pos="-1124"/>
        <w:tab w:val="left" w:pos="-404"/>
        <w:tab w:val="left" w:pos="0"/>
        <w:tab w:val="left" w:pos="352"/>
        <w:tab w:val="left" w:pos="705"/>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s>
      <w:spacing w:before="40" w:after="40"/>
      <w:contextualSpacing/>
    </w:pPr>
    <w:rPr>
      <w:rFonts w:ascii="Times New Roman" w:hAnsi="Times New Roman"/>
      <w:color w:val="000000"/>
    </w:rPr>
  </w:style>
  <w:style w:type="paragraph" w:customStyle="1" w:styleId="CharChar22">
    <w:name w:val="Char Char22"/>
    <w:basedOn w:val="Normal"/>
    <w:qFormat/>
    <w:locked/>
    <w:rsid w:val="006F39D1"/>
    <w:rPr>
      <w:rFonts w:ascii="Times New Roman" w:hAnsi="Times New Roman"/>
      <w:sz w:val="24"/>
      <w:szCs w:val="24"/>
      <w:lang w:val="pl-PL" w:eastAsia="pl-PL"/>
    </w:rPr>
  </w:style>
  <w:style w:type="paragraph" w:customStyle="1" w:styleId="CharChar21">
    <w:name w:val="Char Char21"/>
    <w:basedOn w:val="Normal"/>
    <w:qFormat/>
    <w:rsid w:val="002C6BE2"/>
    <w:rPr>
      <w:rFonts w:ascii="Calibri" w:hAnsi="Calibri"/>
      <w:sz w:val="22"/>
      <w:szCs w:val="24"/>
      <w:lang w:val="pl-PL" w:eastAsia="pl-PL"/>
    </w:rPr>
  </w:style>
  <w:style w:type="paragraph" w:customStyle="1" w:styleId="Frame-inhoud">
    <w:name w:val="Frame-inhoud"/>
    <w:basedOn w:val="Normal"/>
    <w:qFormat/>
  </w:style>
  <w:style w:type="numbering" w:customStyle="1" w:styleId="NoList1">
    <w:name w:val="No List1"/>
    <w:uiPriority w:val="99"/>
    <w:semiHidden/>
    <w:unhideWhenUsed/>
    <w:qFormat/>
    <w:rsid w:val="00A53EE0"/>
  </w:style>
  <w:style w:type="numbering" w:customStyle="1" w:styleId="NoList11">
    <w:name w:val="No List11"/>
    <w:uiPriority w:val="99"/>
    <w:semiHidden/>
    <w:unhideWhenUsed/>
    <w:qFormat/>
    <w:rsid w:val="00A53EE0"/>
  </w:style>
  <w:style w:type="numbering" w:customStyle="1" w:styleId="Geenlijst1">
    <w:name w:val="Geen lijst1"/>
    <w:uiPriority w:val="99"/>
    <w:semiHidden/>
    <w:unhideWhenUsed/>
    <w:qFormat/>
    <w:rsid w:val="007E37A7"/>
  </w:style>
  <w:style w:type="table" w:styleId="TableGrid">
    <w:name w:val="Table Grid"/>
    <w:basedOn w:val="TableNorma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53EE0"/>
    <w:pPr>
      <w:jc w:val="both"/>
    </w:pPr>
    <w:rPr>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957"/>
    <w:rPr>
      <w:color w:val="000000"/>
      <w:u w:val="single"/>
    </w:rPr>
  </w:style>
  <w:style w:type="paragraph" w:customStyle="1" w:styleId="Column3">
    <w:name w:val="Column 3"/>
    <w:basedOn w:val="Normal"/>
    <w:rsid w:val="007F25FD"/>
    <w:pPr>
      <w:spacing w:before="40" w:line="240" w:lineRule="atLeast"/>
      <w:ind w:left="114"/>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968">
      <w:bodyDiv w:val="1"/>
      <w:marLeft w:val="0"/>
      <w:marRight w:val="0"/>
      <w:marTop w:val="0"/>
      <w:marBottom w:val="0"/>
      <w:divBdr>
        <w:top w:val="none" w:sz="0" w:space="0" w:color="auto"/>
        <w:left w:val="none" w:sz="0" w:space="0" w:color="auto"/>
        <w:bottom w:val="none" w:sz="0" w:space="0" w:color="auto"/>
        <w:right w:val="none" w:sz="0" w:space="0" w:color="auto"/>
      </w:divBdr>
    </w:div>
    <w:div w:id="445739496">
      <w:bodyDiv w:val="1"/>
      <w:marLeft w:val="0"/>
      <w:marRight w:val="0"/>
      <w:marTop w:val="0"/>
      <w:marBottom w:val="0"/>
      <w:divBdr>
        <w:top w:val="none" w:sz="0" w:space="0" w:color="auto"/>
        <w:left w:val="none" w:sz="0" w:space="0" w:color="auto"/>
        <w:bottom w:val="none" w:sz="0" w:space="0" w:color="auto"/>
        <w:right w:val="none" w:sz="0" w:space="0" w:color="auto"/>
      </w:divBdr>
    </w:div>
    <w:div w:id="670528240">
      <w:bodyDiv w:val="1"/>
      <w:marLeft w:val="0"/>
      <w:marRight w:val="0"/>
      <w:marTop w:val="0"/>
      <w:marBottom w:val="0"/>
      <w:divBdr>
        <w:top w:val="none" w:sz="0" w:space="0" w:color="auto"/>
        <w:left w:val="none" w:sz="0" w:space="0" w:color="auto"/>
        <w:bottom w:val="none" w:sz="0" w:space="0" w:color="auto"/>
        <w:right w:val="none" w:sz="0" w:space="0" w:color="auto"/>
      </w:divBdr>
    </w:div>
    <w:div w:id="20129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ha.europa.eu/documents/10162/f294be47-85b0-428f-2d71-430ef809c7d3"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ha.europa.eu/documents/10162/f294be47-85b0-428f-2d71-430ef809c7d3"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echa.europa.eu/documents/10162/40ead898-bda6-bf47-6cdc-d97911c3b54c" TargetMode="Externa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ha.europa.eu/documents/10162/f294be47-85b0-428f-2d71-430ef809c7d3" TargetMode="External"/><Relationship Id="rId22" Type="http://schemas.openxmlformats.org/officeDocument/2006/relationships/hyperlink" Target="https://echa.europa.eu/documents/10162/f294be47-85b0-428f-2d71-430ef809c7d3"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field name="doctype" markerprefix="true"/>
  <field name="aspect" markerprefix="true">NVT</field>
  <field name="middelnaam" markerprefix="true">Kalaguard SB</field>
  <field name="aanvraagnummer" markerprefix="true">20200156</field>
  <field name="aanvraagtype" markerprefix="true">B-KW</field>
  <field name="aanvraagtype_omschr" markerprefix="true">Wijziging toelating: kleine wijziging*</field>
  <field name="toelatingsnummer" markerprefix="true">NL-0018125-0000</field>
  <field name="indiener_relatienaam" markerprefix="true">Emerald Kalama Chemical, B.V.</field>
  <field name="indiener_straat_regel" markerprefix="true">Postbus 1021 </field>
  <field name="indiener_woonplaats_regel" markerprefix="true">3180 AA ROZENBURG ZH</field>
  <field name="indiener_land_regel" markerprefix="true"/>
  <field name="contactpers_relatienaam" markerprefix="true">Doris Pfeiffer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28 februari 2020</field>
  <field name="ws_en" markerprefix="true">sodium benzoate</field>
  <field name="ws_nl" markerprefix="true">natriumbenzoaat</field>
  <field name="docnr" markerprefix="true">202003180125</field>
  <field name="author" markerprefix="true">Kunert, dr. A. (Antje)</field>
  <field name="bestrijdingsmiddel_nr" markerprefix="true"/>
  <field name="ontvangstdatum" markerprefix="true">24 januari 2020</field>
  <field name="stoffen" markerprefix="true"/>
  <field name="opmerkingen" markerprefix="true"/>
  <field name="dagtekening" markerprefix="true">18 maart 2020</field>
  <field name="name" markerprefix="true">WERKVERSIE PAR Purox Clean non confidential updated 13112019 </field>
  <field name="description" markerprefix="true">WERKVERSIE PAR Purox Clean non confidential updated 13112019</field>
  <field name="workflow" markerprefix="true">Algemeen</field>
  <field name="lastchangeddmy" markerprefix="true">28 oktober 2020</field>
  <field name="lastpublisheddmy" markerprefix="true">niet gepubliceerd</field>
  <field name="lastchangedmdy" markerprefix="true">October 28th 2020</field>
  <field name="lastpublishedmdy" markerprefix="true">not published</field>
  <field name="allocto" markerprefix="true">Kunert, dr. A. (Antje)</field>
  <field name="dsaanvraagnummer" markerprefix="true">20200156</field>
  <field name="dsmiddelnaam" markerprefix="true">Kalaguard® SB</field>
  <field name="dsaanvraagtype" markerprefix="true">B-KW</field>
  <field name="dstoelatingsnummer" markerprefix="true">NL-0018125-0000</field>
  <field name="dsprofessioneel" markerprefix="true">Professioneel</field>
  <field name="dsbiocide" markerprefix="true">Biocide</field>
  <field name="dsafgeleide" markerprefix="true">Wijziging Middel</field>
  <field name="dstoelating_start_datum" markerprefix="true">2 augustus 2019</field>
  <field name="dstoelating_expiratie_datum" markerprefix="true">1 augustus 2029</field>
  <field name="dsindiener_relatienaam" markerprefix="true">Emerald Kalama Chemical, B.V.</field>
  <field name="dsindiener_straat_regel" markerprefix="true">Postbus 1021 </field>
  <field name="dsindiener_woonplaats_regel" markerprefix="true">3180 AA ROZENBURG ZH</field>
  <field name="dscontactpers_relatienaam" markerprefix="true">Doris Pfeiffer</field>
  <field name="dstoelatingshouder_relatienaam" markerprefix="true">Emerald Kalama Chemical, B.V.</field>
  <field name="dsaanvraagtype_omschr" markerprefix="true">Wijziging toelating: kleine wijziging*</field>
  <field name="dsontvangstdatum" markerprefix="true">24 januari 2020</field>
  <field name="dswet" markerprefix="true">50</field>
  <field name="dsind_kinderveilige_sluiting" markerprefix="true">Nee</field>
  <field name="dsind_waarneembare_aanduiding" markerprefix="true">Nee</field>
  <field name="dsgev_prof_nl" markerprefix="true">H319	Veroorzaakt ernstige oogirritatie.</field>
  <field name="dscvm_prof_nl" markerprefix="true">P264	Na het werken met dit product ... grondig wassen.
P280G	Oogbescherming dragen.
P305 + P351 + P338	BIJ CONTACT MET DE OGEN: voorzichtig afspoelen met water gedurende een aantal minuten; contactlenzen verwijderen, indien mogelijk. Blijven spoelen.
P337 + P313	Bij aanhoudende oogirritatie: een arts raadplegen.</field>
  <field name="dsgevaar_clp_nl" markerprefix="true">GHS07</field>
  <field name="dswsfact" markerprefix="true">natriumbenzoaat	99,9 %</field>
  <field name="dstoelating_aard_preparaat_oms" markerprefix="true">Stuifpoeder</field>
  <field name="dssignaal_clp_nl" markerprefix="true">Waarschuwing</field>
  <field name="dsws_en" markerprefix="true">sodium benzoate</field>
  <field name="dsws_nl" markerprefix="true">natriumbenzoaat</field>
  <field name="dstoelating_adres_regel" markerprefix="true">Postbus 1021 </field>
  <field name="dstoelating_woonplaats_regel" markerprefix="true">3180 AA ROZENBURG ZH</field>
  <field name="dsbriefnaam_pl" markerprefix="true">Ms. dr. A. Kunert</field>
  <field name="dstelefoonnummer_pl" markerprefix="true">0317-753847</field>
  <field name="dsemailadres_pl" markerprefix="true">antje.kunert@ctgb.nl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28 februari 2020</field>
  <field name="dsaanvraag" markerprefix="true"/>
  <field name="dsomschrijving_engels" markerprefix="true"/>
  <field name="dsindiener_land_regel" markerprefix="true"/>
  <field name="dstoelating_land_regel" markerprefix="true"/>
  <field name="dstoelatingsnummermoeder" markerprefix="true"/>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24 januari 2020</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cav_combi_nl" markerprefix="true"/>
  <field name="dscav_nprof_nl" markerprefix="true"/>
  <field name="dscav_prof_nl" markerprefix="true"/>
  <field name="dscvm_combi_nl" markerprefix="true"/>
  <field name="dscvm_nprof_nl" markerprefix="true"/>
  <field name="dsgev_combi_nl" markerprefix="true"/>
  <field name="dsgev_nprof_nl"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February 28th 2020</field>
  <field name="ontvangstdatum_en" markerprefix="true">January 24th 2020</field>
  <field name="dagtekening_en" markerprefix="true">March 18th 2020</field>
  <field name="dstoelating_start_datum_en" markerprefix="true">August 2nd 2019</field>
  <field name="dstoelating_expiratie_datum_en" markerprefix="true">August 1st 2029</field>
  <field name="dsontvangstdatum_en" markerprefix="true">January 24th 2020</field>
  <field name="dsformele_registratiedatum_en" markerprefix="true">February 28th 2020</field>
  <field name="dsaanvraag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January 24th 2020</field>
  <field name="dstoelating_aflevertermijn_en" markerprefix="true"/>
  <field name="dstoelating_opgebruiktermijn_en" markerprefix="true"/>
  <field name="version" markerprefix="true">0.11 </field>
  <field name="status" markerprefix="true">concept</field>
  <field name="stage" markerprefix="true">2</field>
</root>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57C7EF33-C218-430F-B1B7-FBAEE66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30836</Words>
  <Characters>169599</Characters>
  <Application>Microsoft Office Word</Application>
  <DocSecurity>0</DocSecurity>
  <Lines>1413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2020-10-28T13:49:00Z</dcterms:created>
  <dcterms:modified xsi:type="dcterms:W3CDTF">2020-12-04T11:09:00Z</dcterms:modified>
  <dc:language/>
</cp:coreProperties>
</file>